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РФ 4 октября 2010 г. N 18608</w:t>
      </w:r>
    </w:p>
    <w:p w:rsidR="0092425E" w:rsidRDefault="009242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ЗДРАВООХРАНЕНИЯ И СОЦИАЛЬНОГО РАЗВИТИЯ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23 августа 2010 г. N 706н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 ХРАНЕНИЯ ЛЕКАРСТВЕННЫХ СРЕДСТВ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6" w:history="1">
        <w:r>
          <w:rPr>
            <w:rFonts w:cs="Times New Roman"/>
            <w:color w:val="0000FF"/>
            <w:szCs w:val="24"/>
          </w:rPr>
          <w:t>статьей 58</w:t>
        </w:r>
      </w:hyperlink>
      <w:r>
        <w:rPr>
          <w:rFonts w:cs="Times New Roman"/>
          <w:szCs w:val="24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</w:t>
      </w:r>
      <w:hyperlink w:anchor="Par34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хранения лекарственных средств согласно приложению.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Признать утратившими силу: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7" w:history="1">
        <w:r>
          <w:rPr>
            <w:rFonts w:cs="Times New Roman"/>
            <w:color w:val="0000FF"/>
            <w:szCs w:val="24"/>
          </w:rPr>
          <w:t>разделы 1</w:t>
        </w:r>
      </w:hyperlink>
      <w:r>
        <w:rPr>
          <w:rFonts w:cs="Times New Roman"/>
          <w:szCs w:val="24"/>
        </w:rPr>
        <w:t xml:space="preserve"> и </w:t>
      </w:r>
      <w:hyperlink r:id="rId8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, </w:t>
      </w:r>
      <w:hyperlink r:id="rId9" w:history="1">
        <w:r>
          <w:rPr>
            <w:rFonts w:cs="Times New Roman"/>
            <w:color w:val="0000FF"/>
            <w:szCs w:val="24"/>
          </w:rPr>
          <w:t>пункты 3.1</w:t>
        </w:r>
      </w:hyperlink>
      <w:r>
        <w:rPr>
          <w:rFonts w:cs="Times New Roman"/>
          <w:szCs w:val="24"/>
        </w:rPr>
        <w:t>-</w:t>
      </w:r>
      <w:hyperlink r:id="rId10" w:history="1">
        <w:r>
          <w:rPr>
            <w:rFonts w:cs="Times New Roman"/>
            <w:color w:val="0000FF"/>
            <w:szCs w:val="24"/>
          </w:rPr>
          <w:t>3.4</w:t>
        </w:r>
      </w:hyperlink>
      <w:r>
        <w:rPr>
          <w:rFonts w:cs="Times New Roman"/>
          <w:szCs w:val="24"/>
        </w:rPr>
        <w:t xml:space="preserve">, </w:t>
      </w:r>
      <w:hyperlink r:id="rId11" w:history="1">
        <w:r>
          <w:rPr>
            <w:rFonts w:cs="Times New Roman"/>
            <w:color w:val="0000FF"/>
            <w:szCs w:val="24"/>
          </w:rPr>
          <w:t>3.6</w:t>
        </w:r>
      </w:hyperlink>
      <w:r>
        <w:rPr>
          <w:rFonts w:cs="Times New Roman"/>
          <w:szCs w:val="24"/>
        </w:rPr>
        <w:t xml:space="preserve"> и </w:t>
      </w:r>
      <w:hyperlink r:id="rId12" w:history="1">
        <w:r>
          <w:rPr>
            <w:rFonts w:cs="Times New Roman"/>
            <w:color w:val="0000FF"/>
            <w:szCs w:val="24"/>
          </w:rPr>
          <w:t>3.7 раздела 3</w:t>
        </w:r>
      </w:hyperlink>
      <w:r>
        <w:rPr>
          <w:rFonts w:cs="Times New Roman"/>
          <w:szCs w:val="24"/>
        </w:rPr>
        <w:t xml:space="preserve">, </w:t>
      </w:r>
      <w:hyperlink r:id="rId13" w:history="1">
        <w:r>
          <w:rPr>
            <w:rFonts w:cs="Times New Roman"/>
            <w:color w:val="0000FF"/>
            <w:szCs w:val="24"/>
          </w:rPr>
          <w:t>разделы 4</w:t>
        </w:r>
      </w:hyperlink>
      <w:r>
        <w:rPr>
          <w:rFonts w:cs="Times New Roman"/>
          <w:szCs w:val="24"/>
        </w:rPr>
        <w:t>-</w:t>
      </w:r>
      <w:hyperlink r:id="rId14" w:history="1">
        <w:r>
          <w:rPr>
            <w:rFonts w:cs="Times New Roman"/>
            <w:color w:val="0000FF"/>
            <w:szCs w:val="24"/>
          </w:rPr>
          <w:t>7</w:t>
        </w:r>
      </w:hyperlink>
      <w:r>
        <w:rPr>
          <w:rFonts w:cs="Times New Roman"/>
          <w:szCs w:val="24"/>
        </w:rPr>
        <w:t xml:space="preserve">, </w:t>
      </w:r>
      <w:hyperlink r:id="rId15" w:history="1">
        <w:r>
          <w:rPr>
            <w:rFonts w:cs="Times New Roman"/>
            <w:color w:val="0000FF"/>
            <w:szCs w:val="24"/>
          </w:rPr>
          <w:t>12</w:t>
        </w:r>
      </w:hyperlink>
      <w:r>
        <w:rPr>
          <w:rFonts w:cs="Times New Roman"/>
          <w:szCs w:val="24"/>
        </w:rPr>
        <w:t xml:space="preserve"> и </w:t>
      </w:r>
      <w:hyperlink r:id="rId16" w:history="1">
        <w:r>
          <w:rPr>
            <w:rFonts w:cs="Times New Roman"/>
            <w:color w:val="0000FF"/>
            <w:szCs w:val="24"/>
          </w:rPr>
          <w:t>13</w:t>
        </w:r>
      </w:hyperlink>
      <w:r>
        <w:rPr>
          <w:rFonts w:cs="Times New Roman"/>
          <w:szCs w:val="24"/>
        </w:rPr>
        <w:t xml:space="preserve"> Инструкции по организации хранения в аптечных учреждениях различных групп лекарственных средств и изделий медицинского назначения, утвержденной Приказом Министерства здравоохранения Российской Федерации от 13 ноября 1996 г. N 377 "Об утверждении требований к организации хранения в аптечных учреждениях различных групп лекарственных средств и изделий медицинского назначения" (зарегистрирован Минюстом России 22 ноября 1996 г. N 1202).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Т.А.ГОЛИКОВА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7"/>
      <w:bookmarkEnd w:id="1"/>
      <w:r>
        <w:rPr>
          <w:rFonts w:cs="Times New Roman"/>
          <w:szCs w:val="24"/>
        </w:rPr>
        <w:t>Приложение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здравоохранения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23 августа 2010 г. N 706н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4"/>
      <w:bookmarkEnd w:id="2"/>
      <w:r>
        <w:rPr>
          <w:rFonts w:cs="Times New Roman"/>
          <w:b/>
          <w:bCs/>
          <w:szCs w:val="24"/>
        </w:rPr>
        <w:t>ПРАВИЛА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ХРАНЕНИЯ ЛЕКАРСТВЕННЫХ СРЕДСТВ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" w:name="Par40"/>
      <w:bookmarkEnd w:id="3"/>
      <w:r>
        <w:rPr>
          <w:rFonts w:cs="Times New Roman"/>
          <w:szCs w:val="24"/>
        </w:rPr>
        <w:t>I. Общие положения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 Настоящие Правила устанавливают требования к помещениям для хранения лекарственных средств для медицинского применения (далее - лекарственные средства),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 на фармацевтическую деятельность или лицензию на медицинскую деятельность (далее соответственно - организации, индивидуальные предприниматели).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44"/>
      <w:bookmarkEnd w:id="4"/>
      <w:r>
        <w:rPr>
          <w:rFonts w:cs="Times New Roman"/>
          <w:szCs w:val="24"/>
        </w:rPr>
        <w:t>II. Общие требования к устройству и эксплуатации помещений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хранения лекарственных средств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 в ред. </w:t>
      </w:r>
      <w:hyperlink r:id="rId1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Помещения для хранения лекарственных средств должны быть обеспечены стеллажами, шкафами, поддонами, подтоварниками.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5" w:name="Par54"/>
      <w:bookmarkEnd w:id="5"/>
      <w:r>
        <w:rPr>
          <w:rFonts w:cs="Times New Roman"/>
          <w:szCs w:val="24"/>
        </w:rPr>
        <w:t>III. Общие требования к помещениям для хранения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лекарственных средств и организации их хранения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физико-химических свойств лекарственных средств;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фармакологических групп (для аптечных и медицинских организаций);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способа применения (внутреннее, наружное);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агрегатного состояния фармацевтических субстанций (жидкие, сыпучие, газообразные).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Отдельно, в технически укрепленных помещениях, соответствующих требованиям Федерального </w:t>
      </w:r>
      <w:hyperlink r:id="rId1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167, N 27 (ч. I), ст. 2700; 2005, N 19, ст. 1752; 2006, N 43, ст. 4412; 2007, N 30, ст. 3748, N 31, ст. 4011; 2008, N 52 (ч. I), ст. 6233; 2009, N 29, ст. 3614; 2010, N 21, ст. 2525, N 31, ст. 4192), хранятся: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наркотические и психотропные лекарственные средства;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Стеллажи (шкафы) для хранения лекарственных средств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Стеллажи, шкафы, полки, предназначенные для хранения лекарственных средств, должны быть идентифицированы.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6" w:name="Par75"/>
      <w:bookmarkEnd w:id="6"/>
      <w:r>
        <w:rPr>
          <w:rFonts w:cs="Times New Roman"/>
          <w:szCs w:val="24"/>
        </w:rPr>
        <w:t>IV. Требования к помещениям для хранения огнеопасных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взрывоопасных лекарственных средств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организации их хранения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Помещения для хранения лекарственных средств в организациях оптовой торговли 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</w:t>
      </w:r>
      <w:r>
        <w:rPr>
          <w:rFonts w:cs="Times New Roman"/>
          <w:szCs w:val="24"/>
        </w:rPr>
        <w:lastRenderedPageBreak/>
        <w:t>физико-химическими, пожароопасными свойствами и характером упаковки.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14 в ред. </w:t>
      </w:r>
      <w:hyperlink r:id="rId2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иметь, в случае хранения фармацевтических субстанций, отбортовки не менее 0,25 м. Продольные проходы между стеллажами должны быть не менее 1,35 м.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18 в ред. </w:t>
      </w:r>
      <w:hyperlink r:id="rId2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шкафах. Шкафы должны быть удалены от тепловыводящих поверхностей и проходов, с дверьми шириной не менее 0,7 м и высотой не менее 1,2 м. К ним должен быть организован свободный доступ.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нерасфасованном виде.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 кг, должны находиться в отдельно стоящем здании,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20 в ред. </w:t>
      </w:r>
      <w:hyperlink r:id="rId2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7" w:name="Par97"/>
      <w:bookmarkEnd w:id="7"/>
      <w:r>
        <w:rPr>
          <w:rFonts w:cs="Times New Roman"/>
          <w:szCs w:val="24"/>
        </w:rPr>
        <w:lastRenderedPageBreak/>
        <w:t>V. Особенности организации хранения лекарственных средств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складских помещениях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При ручном способе разгрузочно-погрузочных работ высота укладки лекарственных средств не должна превышать 1,5 м.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использовании механизированных устройств для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23.1. Площадь складских помещений должна соответствовать объему хранимых лекарственных средств, но составлять не менее 150 кв. м, включая: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зону приемки лекарственных средств;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зону для основного хранения лекарственных средств;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зону экспедиции;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помещения для лекарственных средств, требующих особых условий хранения.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23.1 введен </w:t>
      </w:r>
      <w:hyperlink r:id="rId27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8" w:name="Par111"/>
      <w:bookmarkEnd w:id="8"/>
      <w:r>
        <w:rPr>
          <w:rFonts w:cs="Times New Roman"/>
          <w:szCs w:val="24"/>
        </w:rPr>
        <w:t>VI. Особенности хранения отдельных групп лекарственных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средств в зависимости от физических и физико-химических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свойств, воздействия на них различных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факторов внешней среды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9" w:name="Par116"/>
      <w:bookmarkEnd w:id="9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действия света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хранения особо чувствительных к свету фармацевтических субстанций (нитрат серебра, прозерин) стеклянную тару оклеивают черной светонепроницаемой бумагой.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0" w:name="Par124"/>
      <w:bookmarkEnd w:id="10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воздействия влаги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27. Фармацевтические субстанции, требующие защиты от воздействия влаги, следует хранить в прохладном месте при температуре до +15 град. C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 Во избежание порчи и потери качества следует организовать хранение лекарственных средств в соответствии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1" w:name="Par131"/>
      <w:bookmarkEnd w:id="11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улетучивания и высыхания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 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 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парааминосалицилат натрия, сульфат натрия)),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 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2" w:name="Par137"/>
      <w:bookmarkEnd w:id="12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воздействия повышенной температуры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 Хранение лекарственных средств, требующих защиты от воздействия повышенной температуры (термолабильные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3" w:name="Par142"/>
      <w:bookmarkEnd w:id="13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воздействия пониженной температуры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инсулина)), организации и </w:t>
      </w:r>
      <w:r>
        <w:rPr>
          <w:rFonts w:cs="Times New Roman"/>
          <w:szCs w:val="24"/>
        </w:rPr>
        <w:lastRenderedPageBreak/>
        <w:t>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34. Замерзание препаратов инсулина не допускается.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4" w:name="Par148"/>
      <w:bookmarkEnd w:id="14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воздействия газов, содержащихся в окружающей среде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(барбитал натрий, гексенал), лекарственные препараты, содержащие многоатомные амины (эуфиллин),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5" w:name="Par153"/>
      <w:bookmarkEnd w:id="15"/>
      <w:r>
        <w:rPr>
          <w:rFonts w:cs="Times New Roman"/>
          <w:szCs w:val="24"/>
        </w:rPr>
        <w:t>Хранение пахучих и красящих лекарственных средств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36. 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37.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индигокармин)) следует хранить в специальном шкафу в плотно укупоренной таре.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38. 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6" w:name="Par159"/>
      <w:bookmarkEnd w:id="16"/>
      <w:r>
        <w:rPr>
          <w:rFonts w:cs="Times New Roman"/>
          <w:szCs w:val="24"/>
        </w:rPr>
        <w:t>Хранение дезинфицирующих лекарственных средств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39.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7" w:name="Par163"/>
      <w:bookmarkEnd w:id="17"/>
      <w:r>
        <w:rPr>
          <w:rFonts w:cs="Times New Roman"/>
          <w:szCs w:val="24"/>
        </w:rPr>
        <w:t>Хранение лекарственных препаратов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для медицинского применения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40.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41.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42.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</w:t>
      </w:r>
      <w:r>
        <w:rPr>
          <w:rFonts w:cs="Times New Roman"/>
          <w:szCs w:val="24"/>
        </w:rPr>
        <w:lastRenderedPageBreak/>
        <w:t>их хранению, указанными на вторичной (потребительской) упаковке указанного лекарственного препарата.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8" w:name="Par170"/>
      <w:bookmarkEnd w:id="18"/>
      <w:r>
        <w:rPr>
          <w:rFonts w:cs="Times New Roman"/>
          <w:szCs w:val="24"/>
        </w:rPr>
        <w:t>Хранение лекарственного растительного сырья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43. Нерасфасованное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44. Нерасфасованное лекарственное растительное сырье, содержащее эфирные масла, хранится изолированно в хорошо укупоренной таре.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45. Нерасфасованное лекарственное растительное сырье должно подвергаться периодическому контролю в соответствии с требованиями государственной фармакопеи. 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46.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Нерасфасованное лекарственное растительное сырье, включенное в списки </w:t>
      </w:r>
      <w:hyperlink r:id="rId28" w:history="1">
        <w:r>
          <w:rPr>
            <w:rFonts w:cs="Times New Roman"/>
            <w:color w:val="0000FF"/>
            <w:szCs w:val="24"/>
          </w:rPr>
          <w:t>сильнодействующих</w:t>
        </w:r>
      </w:hyperlink>
      <w:r>
        <w:rPr>
          <w:rFonts w:cs="Times New Roman"/>
          <w:szCs w:val="24"/>
        </w:rPr>
        <w:t xml:space="preserve"> и </w:t>
      </w:r>
      <w:hyperlink r:id="rId29" w:history="1">
        <w:r>
          <w:rPr>
            <w:rFonts w:cs="Times New Roman"/>
            <w:color w:val="0000FF"/>
            <w:szCs w:val="24"/>
          </w:rPr>
          <w:t>ядовитых</w:t>
        </w:r>
      </w:hyperlink>
      <w:r>
        <w:rPr>
          <w:rFonts w:cs="Times New Roman"/>
          <w:szCs w:val="24"/>
        </w:rPr>
        <w:t xml:space="preserve"> веществ, утвержденные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89; 2010, N 28, ст. 3703), хранится в отдельном помещении или в отдельном шкафу под замком.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48. Расфасованное лекарственное растительное сырье хранится на стеллажах или в шкафах.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9" w:name="Par179"/>
      <w:bookmarkEnd w:id="19"/>
      <w:r>
        <w:rPr>
          <w:rFonts w:cs="Times New Roman"/>
          <w:szCs w:val="24"/>
        </w:rPr>
        <w:t>Хранение медицинских пиявок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49. 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50. Содержание пиявок осуществляется в установленном порядке.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20" w:name="Par184"/>
      <w:bookmarkEnd w:id="20"/>
      <w:r>
        <w:rPr>
          <w:rFonts w:cs="Times New Roman"/>
          <w:szCs w:val="24"/>
        </w:rPr>
        <w:t>Хранение огнеопасных лекарственных средств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51. 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клеол, жидкость Новикова, органические масла); лекарственные средства, обладающие легкогорючими свойствами (сера, глицерин, растительные масла, нерасфасованное лекарственное растительное сырье)) должно осуществляться отдельно от других лекарственных средств.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52.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53. 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допускается хранение указанных лекарственных средств у отопительных </w:t>
      </w:r>
      <w:r>
        <w:rPr>
          <w:rFonts w:cs="Times New Roman"/>
          <w:szCs w:val="24"/>
        </w:rPr>
        <w:lastRenderedPageBreak/>
        <w:t>приборов. Расстояние от стеллажа или штабеля до нагревательного элемента должно быть не менее 1 м.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54.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баллоно-опрокидывателях в один ряд.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55.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56. Не допускается хранение легковоспламеняющихся и легкогорючих лекарственных средств в полностью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57.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58.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21" w:name="Par197"/>
      <w:bookmarkEnd w:id="21"/>
      <w:r>
        <w:rPr>
          <w:rFonts w:cs="Times New Roman"/>
          <w:szCs w:val="24"/>
        </w:rPr>
        <w:t>Хранение взрывоопасных лекарственных средств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59. 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нитрат)) следует принимать меры против загрязнения их пылью.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60. Емкости с взрывоопасными лекарственными средствами (штангласы, жестяные барабаны, склянки и др.) необходимо плотно закрывать во избежание попадания паров этих средств в воздух.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61. Хранение нерасфасованного калия перманганата допускается в специальном отсеке складских помещений (где он хранится в жестяных барабанах), в штангласах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62. Нерасфасованный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63. При работе с диэтиловым эфиром не допускается встряхивание, удары, трение.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64. Запрещается хранение взрывоопасных лекарственных средств с кислотами и щелочами.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22" w:name="Par206"/>
      <w:bookmarkEnd w:id="22"/>
      <w:r>
        <w:rPr>
          <w:rFonts w:cs="Times New Roman"/>
          <w:szCs w:val="24"/>
        </w:rPr>
        <w:t>Хранение наркотических и психотропных лекарственных средств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2425E" w:rsidRDefault="009242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Минздравсоцразвития РФ от 16.05.2011 N 397н утверждены </w:t>
      </w:r>
      <w:hyperlink r:id="rId31" w:history="1">
        <w:r>
          <w:rPr>
            <w:rFonts w:cs="Times New Roman"/>
            <w:color w:val="0000FF"/>
            <w:szCs w:val="24"/>
          </w:rPr>
          <w:t>Специальные требования</w:t>
        </w:r>
      </w:hyperlink>
      <w:r>
        <w:rPr>
          <w:rFonts w:cs="Times New Roman"/>
          <w:szCs w:val="24"/>
        </w:rPr>
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</w:t>
      </w:r>
      <w:r>
        <w:rPr>
          <w:rFonts w:cs="Times New Roman"/>
          <w:szCs w:val="24"/>
        </w:rPr>
        <w:lastRenderedPageBreak/>
        <w:t>лекарственных средств, предназначенных для медицинского применения, в аптечных, лечебно-профилактических учреждениях, научно-исследовательских учебных организациях и организациях оптовой торговли лекарственными средствами.</w:t>
      </w:r>
    </w:p>
    <w:p w:rsidR="0092425E" w:rsidRDefault="009242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65. 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</w:t>
      </w:r>
      <w:hyperlink r:id="rId32" w:history="1">
        <w:r>
          <w:rPr>
            <w:rFonts w:cs="Times New Roman"/>
            <w:color w:val="0000FF"/>
            <w:szCs w:val="24"/>
          </w:rPr>
          <w:t>Правилам</w:t>
        </w:r>
      </w:hyperlink>
      <w:r>
        <w:rPr>
          <w:rFonts w:cs="Times New Roman"/>
          <w:szCs w:val="24"/>
        </w:rPr>
        <w:t xml:space="preserve">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 N 25, ст. 3178).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23" w:name="Par214"/>
      <w:bookmarkEnd w:id="23"/>
      <w:r>
        <w:rPr>
          <w:rFonts w:cs="Times New Roman"/>
          <w:szCs w:val="24"/>
        </w:rPr>
        <w:t>Хранение сильнодействующих и ядовитых лекарственных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средств, лекарственных средств, подлежащих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предметно-количественному учету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66. В соответствии с </w:t>
      </w:r>
      <w:hyperlink r:id="rId33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 вещества, включенные в списки сильнодействующих веществ и ядовитых веществ.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67. 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68.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69.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70. Лекарственные средства, подлежащие предметно-количественному учету в соответствии с </w:t>
      </w:r>
      <w:hyperlink r:id="rId34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2425E" w:rsidRDefault="009242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24" w:name="_GoBack"/>
      <w:bookmarkEnd w:id="24"/>
    </w:p>
    <w:sectPr w:rsidR="00875225" w:rsidSect="0032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5E"/>
    <w:rsid w:val="00875225"/>
    <w:rsid w:val="0092425E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F671-F2F7-45F2-8578-EB492BE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F5883522BC901B849C66D22718E847D39C5BC1AF0C705C6BC0A7E4CA441E5BAA65C312B4F5N4q5M" TargetMode="External"/><Relationship Id="rId18" Type="http://schemas.openxmlformats.org/officeDocument/2006/relationships/hyperlink" Target="consultantplus://offline/ref=89F5883522BC901B849C66D22718E847D69D55C9A3517A5432CCA5E3C51B095CE369C212B4F042NAq7M" TargetMode="External"/><Relationship Id="rId26" Type="http://schemas.openxmlformats.org/officeDocument/2006/relationships/hyperlink" Target="consultantplus://offline/ref=89F5883522BC901B849C66D22718E847D69D55C9A3517A5432CCA5E3C51B095CE369C212B4F041NAq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F5883522BC901B849C66D22718E847D69D55C9A3517A5432CCA5E3C51B095CE369C212B4F042NAq4M" TargetMode="External"/><Relationship Id="rId34" Type="http://schemas.openxmlformats.org/officeDocument/2006/relationships/hyperlink" Target="consultantplus://offline/ref=89F5883522BC901B849C66D22718E847D79555C8A7517A5432CCA5E3NCq5M" TargetMode="External"/><Relationship Id="rId7" Type="http://schemas.openxmlformats.org/officeDocument/2006/relationships/hyperlink" Target="consultantplus://offline/ref=89F5883522BC901B849C66D22718E847D39C5BC1AF0C705C6BC0A7E4CA441E5BAA65C312B4F1N4q4M" TargetMode="External"/><Relationship Id="rId12" Type="http://schemas.openxmlformats.org/officeDocument/2006/relationships/hyperlink" Target="consultantplus://offline/ref=89F5883522BC901B849C66D22718E847D39C5BC1AF0C705C6BC0A7E4CA441E5BAA65C312B4F5N4q6M" TargetMode="External"/><Relationship Id="rId17" Type="http://schemas.openxmlformats.org/officeDocument/2006/relationships/hyperlink" Target="consultantplus://offline/ref=89F5883522BC901B849C66D22718E847D69D55C9A3517A5432CCA5E3C51B095CE369C212B4F043NAq1M" TargetMode="External"/><Relationship Id="rId25" Type="http://schemas.openxmlformats.org/officeDocument/2006/relationships/hyperlink" Target="consultantplus://offline/ref=89F5883522BC901B849C66D22718E847D69D55C9A3517A5432CCA5E3C51B095CE369C212B4F042NAqFM" TargetMode="External"/><Relationship Id="rId33" Type="http://schemas.openxmlformats.org/officeDocument/2006/relationships/hyperlink" Target="consultantplus://offline/ref=89F5883522BC901B849C66D22718E847D79954CEA4517A5432CCA5E3NCq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F5883522BC901B849C66D22718E847D39C5BC1AF0C705C6BC0A7E4CA441E5BAA65C312B6F0N4q6M" TargetMode="External"/><Relationship Id="rId20" Type="http://schemas.openxmlformats.org/officeDocument/2006/relationships/hyperlink" Target="consultantplus://offline/ref=89F5883522BC901B849C66D22718E847D69D55C9A3517A5432CCA5E3C51B095CE369C212B4F042NAq5M" TargetMode="External"/><Relationship Id="rId29" Type="http://schemas.openxmlformats.org/officeDocument/2006/relationships/hyperlink" Target="consultantplus://offline/ref=89F5883522BC901B849C66D22718E847D79954CEA4517A5432CCA5E3C51B095CE369C212B4F142NAq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5883522BC901B849C66D22718E847D4995BC0AD517A5432CCA5E3C51B095CE369C212B4F640NAqFM" TargetMode="External"/><Relationship Id="rId11" Type="http://schemas.openxmlformats.org/officeDocument/2006/relationships/hyperlink" Target="consultantplus://offline/ref=89F5883522BC901B849C66D22718E847D39C5BC1AF0C705C6BC0A7E4CA441E5BAA65C312B4F5N4q7M" TargetMode="External"/><Relationship Id="rId24" Type="http://schemas.openxmlformats.org/officeDocument/2006/relationships/hyperlink" Target="consultantplus://offline/ref=89F5883522BC901B849C66D22718E847D69D55C9A3517A5432CCA5E3C51B095CE369C212B4F042NAq0M" TargetMode="External"/><Relationship Id="rId32" Type="http://schemas.openxmlformats.org/officeDocument/2006/relationships/hyperlink" Target="consultantplus://offline/ref=89F5883522BC901B849C66D22718E847D49E5ACAA1517A5432CCA5E3C51B095CE369C212B4F042NAq4M" TargetMode="External"/><Relationship Id="rId5" Type="http://schemas.openxmlformats.org/officeDocument/2006/relationships/hyperlink" Target="consultantplus://offline/ref=89F5883522BC901B849C66D22718E847D69D55C9A3517A5432CCA5E3C51B095CE369C212B4F043NAq1M" TargetMode="External"/><Relationship Id="rId15" Type="http://schemas.openxmlformats.org/officeDocument/2006/relationships/hyperlink" Target="consultantplus://offline/ref=89F5883522BC901B849C66D22718E847D39C5BC1AF0C705C6BC0A7E4CA441E5BAA65C312B6F0N4q2M" TargetMode="External"/><Relationship Id="rId23" Type="http://schemas.openxmlformats.org/officeDocument/2006/relationships/hyperlink" Target="consultantplus://offline/ref=89F5883522BC901B849C66D22718E847D69D55C9A3517A5432CCA5E3C51B095CE369C212B4F042NAq0M" TargetMode="External"/><Relationship Id="rId28" Type="http://schemas.openxmlformats.org/officeDocument/2006/relationships/hyperlink" Target="consultantplus://offline/ref=89F5883522BC901B849C66D22718E847D79954CEA4517A5432CCA5E3C51B095CE369C212B4F042NAq4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9F5883522BC901B849C66D22718E847D39C5BC1AF0C705C6BC0A7E4CA441E5BAA65C312B4F4N4q5M" TargetMode="External"/><Relationship Id="rId19" Type="http://schemas.openxmlformats.org/officeDocument/2006/relationships/hyperlink" Target="consultantplus://offline/ref=89F5883522BC901B849C66D22718E847D4995BC0A3517A5432CCA5E3NCq5M" TargetMode="External"/><Relationship Id="rId31" Type="http://schemas.openxmlformats.org/officeDocument/2006/relationships/hyperlink" Target="consultantplus://offline/ref=89F5883522BC901B849C66D22718E847D69F51CBAD517A5432CCA5E3C51B095CE369C212B4F042NAq7M" TargetMode="Externa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89F5883522BC901B849C66D22718E847D39C5BC1AF0C705C6BC0A7E4CA441E5BAA65C312B4F3N4q6M" TargetMode="External"/><Relationship Id="rId14" Type="http://schemas.openxmlformats.org/officeDocument/2006/relationships/hyperlink" Target="consultantplus://offline/ref=89F5883522BC901B849C66D22718E847D39C5BC1AF0C705C6BC0A7E4CA441E5BAA65C312B5F5N4q1M" TargetMode="External"/><Relationship Id="rId22" Type="http://schemas.openxmlformats.org/officeDocument/2006/relationships/hyperlink" Target="consultantplus://offline/ref=89F5883522BC901B849C66D22718E847D69D55C9A3517A5432CCA5E3C51B095CE369C212B4F042NAq2M" TargetMode="External"/><Relationship Id="rId27" Type="http://schemas.openxmlformats.org/officeDocument/2006/relationships/hyperlink" Target="consultantplus://offline/ref=89F5883522BC901B849C66D22718E847D69D55C9A3517A5432CCA5E3C51B095CE369C212B4F041NAq5M" TargetMode="External"/><Relationship Id="rId30" Type="http://schemas.openxmlformats.org/officeDocument/2006/relationships/hyperlink" Target="consultantplus://offline/ref=89F5883522BC901B849C66D22718E847D69D55C9A3517A5432CCA5E3C51B095CE369C212B4F041NAqFM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9F5883522BC901B849C66D22718E847D39C5BC1AF0C705C6BC0A7E4CA441E5BAA65C312B4F2N4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2016-02-18T12:42:00Z</dcterms:created>
  <dcterms:modified xsi:type="dcterms:W3CDTF">2016-02-18T12:42:00Z</dcterms:modified>
</cp:coreProperties>
</file>