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2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4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ПРАВИТЕЛЬСТВА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9000000">
      <w:pPr>
        <w:spacing w:after="0" w:line="276" w:lineRule="auto"/>
        <w:ind w:firstLine="709" w:left="0"/>
        <w:jc w:val="center"/>
        <w:rPr>
          <w:rFonts w:ascii="Times New Roman" w:hAnsi="Times New Roman"/>
          <w:sz w:val="28"/>
        </w:rPr>
      </w:pPr>
    </w:p>
    <w:p w14:paraId="0A000000">
      <w:pPr>
        <w:spacing w:after="0" w:line="240" w:lineRule="auto"/>
        <w:ind w:firstLine="709" w:left="0"/>
        <w:jc w:val="center"/>
        <w:rPr>
          <w:rFonts w:ascii="Times New Roman" w:hAnsi="Times New Roman"/>
          <w:sz w:val="20"/>
        </w:rPr>
      </w:pPr>
    </w:p>
    <w:p w14:paraId="0B000000">
      <w:pPr>
        <w:spacing w:after="0" w:line="240" w:lineRule="auto"/>
        <w:ind w:firstLine="0" w:left="-284" w:right="5526"/>
        <w:jc w:val="center"/>
        <w:rPr>
          <w:rFonts w:ascii="Times New Roman" w:hAnsi="Times New Roman"/>
          <w:sz w:val="24"/>
        </w:rPr>
      </w:pPr>
      <w:bookmarkStart w:id="1" w:name="REGNUMDATESTAMP"/>
      <w:r>
        <w:rPr>
          <w:rFonts w:ascii="Times New Roman" w:hAnsi="Times New Roman"/>
          <w:color w:val="000000"/>
          <w:sz w:val="24"/>
          <w:u w:val="single"/>
        </w:rPr>
        <w:t>[</w:t>
      </w:r>
      <w:r>
        <w:rPr>
          <w:rFonts w:ascii="Times New Roman" w:hAnsi="Times New Roman"/>
          <w:color w:val="000000"/>
          <w:u w:val="single"/>
        </w:rPr>
        <w:t>Дата регистрации] № [Номер документа]</w:t>
      </w:r>
      <w:bookmarkEnd w:id="1"/>
    </w:p>
    <w:p w14:paraId="0C000000">
      <w:pPr>
        <w:spacing w:after="0" w:line="240" w:lineRule="auto"/>
        <w:ind w:right="5526"/>
        <w:jc w:val="center"/>
        <w:rPr>
          <w:rFonts w:ascii="Times New Roman" w:hAnsi="Times New Roman"/>
          <w:sz w:val="12"/>
        </w:rPr>
      </w:pPr>
    </w:p>
    <w:p w14:paraId="0D000000">
      <w:pPr>
        <w:spacing w:after="0" w:line="240" w:lineRule="auto"/>
        <w:ind w:right="552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г. Петропавловск-Камчатский</w:t>
      </w:r>
    </w:p>
    <w:p w14:paraId="0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1"/>
        <w:tblInd w:type="dxa" w:w="-142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395"/>
      </w:tblGrid>
      <w:tr>
        <w:tc>
          <w:tcPr>
            <w:tcW w:type="dxa" w:w="43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F000000">
            <w:pPr>
              <w:ind w:firstLine="0" w:left="3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 внесении изменений в приложение к постановлению Правительства Камчатского края от 23.11.2021 № 492-П «Об </w:t>
            </w:r>
            <w:r>
              <w:rPr>
                <w:rFonts w:ascii="Times New Roman" w:hAnsi="Times New Roman"/>
                <w:sz w:val="28"/>
              </w:rPr>
              <w:t xml:space="preserve">утверждении Порядка определения объема и предоставления из краевого бюджета субсидии автономной некоммерческой организации «Камчатский детский </w:t>
            </w:r>
            <w:r>
              <w:rPr>
                <w:rFonts w:ascii="Times New Roman" w:hAnsi="Times New Roman"/>
                <w:sz w:val="28"/>
              </w:rPr>
              <w:t>нейрологопедический</w:t>
            </w:r>
            <w:r>
              <w:rPr>
                <w:rFonts w:ascii="Times New Roman" w:hAnsi="Times New Roman"/>
                <w:sz w:val="28"/>
              </w:rPr>
              <w:t xml:space="preserve"> центр» в целях возмещения затрат, возникших в связи с оказанием комплексной услуги по </w:t>
            </w:r>
            <w:r>
              <w:rPr>
                <w:rFonts w:ascii="Times New Roman" w:hAnsi="Times New Roman"/>
                <w:sz w:val="28"/>
              </w:rPr>
              <w:t>нейроло</w:t>
            </w:r>
            <w:r>
              <w:rPr>
                <w:rFonts w:ascii="Times New Roman" w:hAnsi="Times New Roman"/>
                <w:sz w:val="28"/>
              </w:rPr>
              <w:t>гопедической</w:t>
            </w:r>
            <w:r>
              <w:rPr>
                <w:rFonts w:ascii="Times New Roman" w:hAnsi="Times New Roman"/>
                <w:sz w:val="28"/>
              </w:rPr>
              <w:t xml:space="preserve"> коррекции и реабилитации, профилактике </w:t>
            </w:r>
            <w:r>
              <w:rPr>
                <w:rFonts w:ascii="Times New Roman" w:hAnsi="Times New Roman"/>
                <w:sz w:val="28"/>
              </w:rPr>
              <w:t>психоречевых</w:t>
            </w:r>
            <w:r>
              <w:rPr>
                <w:rFonts w:ascii="Times New Roman" w:hAnsi="Times New Roman"/>
                <w:sz w:val="28"/>
              </w:rPr>
              <w:t xml:space="preserve"> нарушений у несовершеннолетних детей с использованием высокотехнологичных немедицинских аппаратных методик и технологических программ»</w:t>
            </w:r>
          </w:p>
        </w:tc>
      </w:tr>
    </w:tbl>
    <w:p w14:paraId="1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1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нести </w:t>
      </w:r>
      <w:r>
        <w:rPr>
          <w:rFonts w:ascii="Times New Roman" w:hAnsi="Times New Roman"/>
          <w:sz w:val="28"/>
        </w:rPr>
        <w:t xml:space="preserve">в приложение к постановлению Правительства Камчатского края от 23.11.2021 № 492-П «Об утверждении Порядка определения объема и предоставления из краевого бюджета субсидии автономной некоммерческой организации «Камчатский детский </w:t>
      </w:r>
      <w:r>
        <w:rPr>
          <w:rFonts w:ascii="Times New Roman" w:hAnsi="Times New Roman"/>
          <w:sz w:val="28"/>
        </w:rPr>
        <w:t>нейрологопедический</w:t>
      </w:r>
      <w:r>
        <w:rPr>
          <w:rFonts w:ascii="Times New Roman" w:hAnsi="Times New Roman"/>
          <w:sz w:val="28"/>
        </w:rPr>
        <w:t xml:space="preserve"> центр» </w:t>
      </w:r>
      <w:r>
        <w:rPr>
          <w:rFonts w:ascii="Times New Roman" w:hAnsi="Times New Roman"/>
          <w:sz w:val="28"/>
        </w:rPr>
        <w:t xml:space="preserve">в целях возмещения затрат, возникших в связи с оказанием комплексной услуги по </w:t>
      </w:r>
      <w:r>
        <w:rPr>
          <w:rFonts w:ascii="Times New Roman" w:hAnsi="Times New Roman"/>
          <w:sz w:val="28"/>
        </w:rPr>
        <w:t>нейрологопедической</w:t>
      </w:r>
      <w:r>
        <w:rPr>
          <w:rFonts w:ascii="Times New Roman" w:hAnsi="Times New Roman"/>
          <w:sz w:val="28"/>
        </w:rPr>
        <w:t xml:space="preserve"> коррекции и реабилитации, профилактике </w:t>
      </w:r>
      <w:r>
        <w:rPr>
          <w:rFonts w:ascii="Times New Roman" w:hAnsi="Times New Roman"/>
          <w:sz w:val="28"/>
        </w:rPr>
        <w:t>психоречевых</w:t>
      </w:r>
      <w:r>
        <w:rPr>
          <w:rFonts w:ascii="Times New Roman" w:hAnsi="Times New Roman"/>
          <w:sz w:val="28"/>
        </w:rPr>
        <w:t xml:space="preserve"> нарушений у несовершеннолетних детей с использованием высокотехнологичных немедицинских аппаратных методи</w:t>
      </w:r>
      <w:r>
        <w:rPr>
          <w:rFonts w:ascii="Times New Roman" w:hAnsi="Times New Roman"/>
          <w:sz w:val="28"/>
        </w:rPr>
        <w:t>к и технологических программ» следующие изменения:</w:t>
      </w:r>
      <w:r>
        <w:rPr>
          <w:rFonts w:ascii="Times New Roman" w:hAnsi="Times New Roman"/>
          <w:sz w:val="28"/>
        </w:rPr>
        <w:t xml:space="preserve"> </w:t>
      </w:r>
    </w:p>
    <w:p w14:paraId="15000000">
      <w:pPr>
        <w:numPr>
          <w:numId w:val="1"/>
        </w:numPr>
        <w:spacing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 5 части 6 изложить в следующей редакции:</w:t>
      </w:r>
    </w:p>
    <w:p w14:paraId="16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«5. получатель субсидии не является </w:t>
      </w:r>
      <w:r>
        <w:rPr>
          <w:rFonts w:ascii="Times New Roman" w:hAnsi="Times New Roman"/>
          <w:b w:val="0"/>
          <w:sz w:val="28"/>
        </w:rPr>
        <w:t>иностранными юридическими лицами,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обществ;».</w:t>
      </w:r>
    </w:p>
    <w:p w14:paraId="17000000">
      <w:pPr>
        <w:spacing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Настоящее постановление вступает в силу после дня его официального опубликования.</w:t>
      </w:r>
    </w:p>
    <w:p w14:paraId="1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A000000">
      <w:pPr>
        <w:spacing w:after="0" w:line="276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B000000">
      <w:pPr>
        <w:spacing w:after="0" w:line="276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2"/>
        <w:tblLayout w:type="fixed"/>
        <w:tblCellMar>
          <w:left w:type="dxa" w:w="0"/>
          <w:right w:type="dxa" w:w="0"/>
        </w:tblCellMar>
      </w:tblPr>
      <w:tblGrid>
        <w:gridCol w:w="4677"/>
        <w:gridCol w:w="992"/>
        <w:gridCol w:w="3968"/>
      </w:tblGrid>
      <w:tr>
        <w:trPr>
          <w:trHeight w:hRule="atLeast" w:val="1232"/>
        </w:trPr>
        <w:tc>
          <w:tcPr>
            <w:tcW w:type="dxa" w:w="4677"/>
            <w:shd w:fill="auto" w:val="clear"/>
            <w:tcMar>
              <w:left w:type="dxa" w:w="0"/>
              <w:right w:type="dxa" w:w="0"/>
            </w:tcMar>
          </w:tcPr>
          <w:p w14:paraId="1C000000">
            <w:pPr>
              <w:spacing w:after="0" w:line="240" w:lineRule="auto"/>
              <w:ind w:hanging="4" w:left="4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>Председатель Правительства Камчатского края</w:t>
            </w:r>
          </w:p>
        </w:tc>
        <w:tc>
          <w:tcPr>
            <w:tcW w:type="dxa" w:w="992"/>
            <w:shd w:fill="auto" w:val="clear"/>
            <w:tcMar>
              <w:left w:type="dxa" w:w="0"/>
              <w:right w:type="dxa" w:w="0"/>
            </w:tcMar>
          </w:tcPr>
          <w:p w14:paraId="1D000000">
            <w:pPr>
              <w:spacing w:after="0" w:line="240" w:lineRule="auto"/>
              <w:ind w:right="-116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968"/>
            <w:shd w:fill="auto" w:val="clear"/>
            <w:tcMar>
              <w:left w:type="dxa" w:w="0"/>
              <w:right w:type="dxa" w:w="0"/>
            </w:tcMar>
          </w:tcPr>
          <w:p w14:paraId="1E000000">
            <w:pPr>
              <w:spacing w:after="0" w:line="240" w:lineRule="auto"/>
              <w:ind w:right="-6"/>
              <w:jc w:val="right"/>
              <w:rPr>
                <w:rFonts w:ascii="Times New Roman" w:hAnsi="Times New Roman"/>
                <w:sz w:val="28"/>
              </w:rPr>
            </w:pPr>
          </w:p>
          <w:p w14:paraId="1F000000">
            <w:pPr>
              <w:spacing w:after="0" w:line="240" w:lineRule="auto"/>
              <w:ind w:right="-6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Е.А. Чекин</w:t>
            </w:r>
          </w:p>
        </w:tc>
      </w:tr>
    </w:tbl>
    <w:p w14:paraId="20000000">
      <w:pPr>
        <w:spacing w:after="0" w:line="240" w:lineRule="auto"/>
        <w:ind w:right="-116"/>
        <w:jc w:val="center"/>
        <w:rPr>
          <w:rFonts w:ascii="Times New Roman" w:hAnsi="Times New Roman"/>
          <w:color w:val="D9D9D9"/>
          <w:sz w:val="28"/>
        </w:rPr>
      </w:pPr>
      <w:bookmarkStart w:id="2" w:name="SIGNERSTAMP1"/>
      <w:r>
        <w:rPr>
          <w:rFonts w:ascii="Times New Roman" w:hAnsi="Times New Roman"/>
          <w:color w:val="D9D9D9"/>
          <w:sz w:val="28"/>
        </w:rPr>
        <w:t>[горизонтальный штамп подписи 1]</w:t>
      </w:r>
    </w:p>
    <w:p w14:paraId="21000000">
      <w:bookmarkStart w:id="3" w:name="_GoBack"/>
      <w:bookmarkEnd w:id="3"/>
      <w:bookmarkEnd w:id="2"/>
    </w:p>
    <w:sectPr>
      <w:pgSz w:h="16838" w:orient="portrait" w:w="11906"/>
      <w:pgMar w:bottom="1134" w:footer="709" w:gutter="0" w:header="709" w:left="1418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)"/>
      <w:pPr>
        <w:ind w:hanging="360" w:left="720"/>
      </w:pPr>
    </w:lvl>
    <w:lvl w:ilvl="1">
      <w:start w:val="1"/>
      <w:numFmt w:val="russianLower"/>
      <w:lvlText w:val="%2)"/>
      <w:pPr>
        <w:ind w:hanging="360" w:left="1440"/>
      </w:pPr>
    </w:lvl>
    <w:lvl w:ilvl="2">
      <w:start w:val="1"/>
      <w:numFmt w:val="lowerRoman"/>
      <w:lvlText w:val="%3)"/>
      <w:lvlJc w:val="right"/>
      <w:pPr>
        <w:ind w:hanging="360" w:left="2160"/>
      </w:pPr>
    </w:lvl>
    <w:lvl w:ilvl="3">
      <w:start w:val="1"/>
      <w:numFmt w:val="decimal"/>
      <w:lvlText w:val="%4)"/>
      <w:pPr>
        <w:ind w:hanging="360" w:left="2880"/>
      </w:pPr>
    </w:lvl>
    <w:lvl w:ilvl="4">
      <w:start w:val="1"/>
      <w:numFmt w:val="russianLower"/>
      <w:lvlText w:val="%5)"/>
      <w:pPr>
        <w:ind w:hanging="360" w:left="3600"/>
      </w:pPr>
    </w:lvl>
    <w:lvl w:ilvl="5">
      <w:start w:val="1"/>
      <w:numFmt w:val="lowerRoman"/>
      <w:lvlText w:val="%6)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russianLow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er"/>
    <w:basedOn w:val="Style_3"/>
    <w:link w:val="Style_8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8_ch" w:type="character">
    <w:name w:val="header"/>
    <w:basedOn w:val="Style_3_ch"/>
    <w:link w:val="Style_8"/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Balloon Text"/>
    <w:basedOn w:val="Style_3"/>
    <w:link w:val="Style_10_ch"/>
    <w:pPr>
      <w:spacing w:after="0" w:line="240" w:lineRule="auto"/>
      <w:ind/>
    </w:pPr>
    <w:rPr>
      <w:rFonts w:ascii="Segoe UI" w:hAnsi="Segoe UI"/>
      <w:sz w:val="18"/>
    </w:rPr>
  </w:style>
  <w:style w:styleId="Style_10_ch" w:type="character">
    <w:name w:val="Balloon Text"/>
    <w:basedOn w:val="Style_3_ch"/>
    <w:link w:val="Style_10"/>
    <w:rPr>
      <w:rFonts w:ascii="Segoe UI" w:hAnsi="Segoe UI"/>
      <w:sz w:val="18"/>
    </w:rPr>
  </w:style>
  <w:style w:styleId="Style_11" w:type="paragraph">
    <w:name w:val="Plain Text"/>
    <w:basedOn w:val="Style_3"/>
    <w:link w:val="Style_11_ch"/>
    <w:pPr>
      <w:spacing w:after="0" w:line="240" w:lineRule="auto"/>
      <w:ind/>
    </w:pPr>
    <w:rPr>
      <w:rFonts w:ascii="Calibri" w:hAnsi="Calibri"/>
    </w:rPr>
  </w:style>
  <w:style w:styleId="Style_11_ch" w:type="character">
    <w:name w:val="Plain Text"/>
    <w:basedOn w:val="Style_3_ch"/>
    <w:link w:val="Style_11"/>
    <w:rPr>
      <w:rFonts w:ascii="Calibri" w:hAnsi="Calibri"/>
    </w:rPr>
  </w:style>
  <w:style w:styleId="Style_12" w:type="paragraph">
    <w:name w:val="toc 3"/>
    <w:next w:val="Style_3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heading 5"/>
    <w:next w:val="Style_3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3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basedOn w:val="Style_13"/>
    <w:link w:val="Style_16_ch"/>
    <w:rPr>
      <w:color w:themeColor="hyperlink" w:val="0563C1"/>
      <w:u w:val="single"/>
    </w:rPr>
  </w:style>
  <w:style w:styleId="Style_16_ch" w:type="character">
    <w:name w:val="Hyperlink"/>
    <w:basedOn w:val="Style_13_ch"/>
    <w:link w:val="Style_16"/>
    <w:rPr>
      <w:color w:themeColor="hyperlink" w:val="0563C1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3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3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3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3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3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3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7" w:type="paragraph">
    <w:name w:val="footer"/>
    <w:basedOn w:val="Style_3"/>
    <w:link w:val="Style_27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27_ch" w:type="character">
    <w:name w:val="footer"/>
    <w:basedOn w:val="Style_3_ch"/>
    <w:link w:val="Style_27"/>
    <w:rPr>
      <w:rFonts w:ascii="Times New Roman" w:hAnsi="Times New Roman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8" w:type="table">
    <w:name w:val="Сетка таблицы1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9" w:type="table">
    <w:name w:val="Сетка таблицы2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2023-04-03T02:34:09Z</dcterms:modified>
</cp:coreProperties>
</file>