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pBdr/>
        <w:spacing/>
        <w:ind/>
        <w:jc w:val="center"/>
        <w:rPr>
          <w:szCs w:val="28"/>
        </w:rPr>
      </w:pPr>
      <w:r>
        <w:rPr>
          <w:szCs w:val="28"/>
        </w:rPr>
        <w:t xml:space="preserve">Пояснительная записка</w:t>
      </w:r>
      <w:r>
        <w:rPr>
          <w:szCs w:val="28"/>
        </w:rPr>
      </w:r>
      <w:r>
        <w:rPr>
          <w:szCs w:val="28"/>
        </w:rPr>
      </w:r>
    </w:p>
    <w:p>
      <w:pPr>
        <w:pStyle w:val="850"/>
        <w:pBdr/>
        <w:spacing/>
        <w:ind/>
        <w:jc w:val="center"/>
        <w:rPr>
          <w:szCs w:val="28"/>
        </w:rPr>
      </w:pPr>
      <w:r>
        <w:rPr>
          <w:szCs w:val="28"/>
        </w:rPr>
        <w:t xml:space="preserve">к проекту постановления Правительства Камчатского края</w:t>
      </w:r>
      <w:r>
        <w:rPr>
          <w:szCs w:val="28"/>
        </w:rPr>
      </w:r>
      <w:r>
        <w:rPr>
          <w:szCs w:val="28"/>
        </w:rPr>
      </w:r>
    </w:p>
    <w:p>
      <w:pPr>
        <w:pStyle w:val="850"/>
        <w:pBdr/>
        <w:spacing/>
        <w:ind/>
        <w:jc w:val="center"/>
        <w:rPr>
          <w:szCs w:val="28"/>
        </w:rPr>
      </w:pPr>
      <w:r>
        <w:rPr>
          <w:szCs w:val="28"/>
        </w:rPr>
        <w:t xml:space="preserve">«О внесении изменений в приложение к постановлению Правительства </w:t>
      </w:r>
      <w:r>
        <w:rPr>
          <w:szCs w:val="28"/>
        </w:rPr>
      </w:r>
      <w:r>
        <w:rPr>
          <w:szCs w:val="28"/>
        </w:rPr>
      </w:r>
    </w:p>
    <w:p>
      <w:pPr>
        <w:pStyle w:val="850"/>
        <w:pBdr/>
        <w:spacing/>
        <w:ind/>
        <w:jc w:val="center"/>
        <w:rPr>
          <w:szCs w:val="28"/>
        </w:rPr>
      </w:pPr>
      <w:r>
        <w:rPr>
          <w:szCs w:val="28"/>
        </w:rPr>
        <w:t xml:space="preserve">Камчатского края от 28.12.2023 № 703-П «Об утверждении Территориальной программы государственных гарантий бесплатного оказания гражданам </w:t>
      </w:r>
      <w:r>
        <w:rPr>
          <w:szCs w:val="28"/>
        </w:rPr>
      </w:r>
      <w:r>
        <w:rPr>
          <w:szCs w:val="28"/>
        </w:rPr>
      </w:r>
    </w:p>
    <w:p>
      <w:pPr>
        <w:pStyle w:val="850"/>
        <w:pBdr/>
        <w:spacing/>
        <w:ind/>
        <w:jc w:val="center"/>
        <w:rPr>
          <w:szCs w:val="28"/>
        </w:rPr>
      </w:pPr>
      <w:r>
        <w:rPr>
          <w:szCs w:val="28"/>
        </w:rPr>
        <w:t xml:space="preserve">медицинской помощи на территории Камчатского края на 2024 год </w:t>
      </w:r>
      <w:r>
        <w:rPr>
          <w:szCs w:val="28"/>
        </w:rPr>
      </w:r>
      <w:r>
        <w:rPr>
          <w:szCs w:val="28"/>
        </w:rPr>
      </w:r>
    </w:p>
    <w:p>
      <w:pPr>
        <w:pStyle w:val="850"/>
        <w:pBdr/>
        <w:spacing/>
        <w:ind/>
        <w:jc w:val="center"/>
        <w:rPr>
          <w:szCs w:val="28"/>
        </w:rPr>
      </w:pPr>
      <w:r>
        <w:rPr>
          <w:szCs w:val="28"/>
        </w:rPr>
        <w:t xml:space="preserve">и на плановый период 2025 и 2026 годов» (далее – Проект постановления)</w:t>
      </w:r>
      <w:r>
        <w:rPr>
          <w:szCs w:val="28"/>
        </w:rPr>
      </w:r>
      <w:r>
        <w:rPr>
          <w:szCs w:val="28"/>
        </w:rPr>
      </w:r>
    </w:p>
    <w:p>
      <w:pPr>
        <w:pStyle w:val="850"/>
        <w:pBdr/>
        <w:spacing/>
        <w:ind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0"/>
        <w:pBdr/>
        <w:spacing/>
        <w:ind w:right="0" w:firstLine="709" w:left="0"/>
        <w:jc w:val="both"/>
        <w:rPr>
          <w:szCs w:val="28"/>
        </w:rPr>
      </w:pPr>
      <w:r>
        <w:rPr>
          <w:szCs w:val="28"/>
        </w:rPr>
        <w:t xml:space="preserve">Настоящий Проект постановления разработан на основании статьи 6 Федерального закона </w:t>
      </w:r>
      <w:r>
        <w:rPr>
          <w:szCs w:val="28"/>
        </w:rPr>
        <w:t xml:space="preserve">от 25.12.2023 № 625-ФЗ «О внесении изменений в статью 98 Федерального закона «О государственном контроле (надзоре) и муниципальном контроле в Российской Федерации» и отдельные законодательные акты Российской Федерации»</w:t>
      </w:r>
      <w:r>
        <w:rPr>
          <w:szCs w:val="28"/>
        </w:rPr>
        <w:t xml:space="preserve">, п</w:t>
      </w:r>
      <w:r>
        <w:rPr>
          <w:szCs w:val="28"/>
        </w:rPr>
        <w:t xml:space="preserve">остановления Правительства РФ от 28.12.2023 № 2353 «О Программе государственных гарантий бесплатного оказания гражданам медицинской помощи на 2024 год и на плановый период 2025 и 2026 годов»</w:t>
      </w:r>
      <w:r>
        <w:rPr>
          <w:szCs w:val="28"/>
        </w:rPr>
        <w:t xml:space="preserve"> (далее – Программа) в целях обеспечения рационального и эффективного расходования средств обязательного медицинского страхования.</w:t>
      </w:r>
      <w:r>
        <w:rPr>
          <w:szCs w:val="28"/>
        </w:rPr>
      </w:r>
      <w:r>
        <w:rPr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80" w:lineRule="atLeast"/>
        <w:ind w:right="0" w:firstLine="709" w:left="0"/>
        <w:jc w:val="both"/>
        <w:rPr/>
      </w:pPr>
      <w:r>
        <w:rPr>
          <w:szCs w:val="28"/>
        </w:rPr>
        <w:t xml:space="preserve">В целях реализации положений статьи 35 </w:t>
      </w:r>
      <w:r>
        <w:rPr>
          <w:szCs w:val="28"/>
        </w:rPr>
        <w:t xml:space="preserve">Федерального закона от 29.11.2010 № 326-ФЗ «Об обязательном медицинском страховании в Российской Федерации» с изменениями, внесенными </w:t>
      </w:r>
      <w:r>
        <w:rPr>
          <w:szCs w:val="28"/>
        </w:rPr>
        <w:t xml:space="preserve">статьей 6 Федерального закона </w:t>
      </w:r>
      <w:r>
        <w:rPr>
          <w:szCs w:val="28"/>
        </w:rPr>
        <w:t xml:space="preserve">от 25.12.2023 № 625-ФЗ «О внесении изменений в статью 98 Федерального закона «О государственном контроле (надзоре) и муниципальном контроле в Российской Федерации»</w:t>
      </w:r>
      <w:r>
        <w:rPr>
          <w:szCs w:val="28"/>
        </w:rPr>
        <w:t xml:space="preserve"> </w:t>
      </w:r>
      <w:r>
        <w:rPr>
          <w:szCs w:val="28"/>
        </w:rPr>
        <w:t xml:space="preserve">Проектом постановления предусмотрено уточнение структуры тарифа в части включения в структуру тарифа на оплату медицинской помощи расходов на техническое обслуживание и ремонт основных средств, а также расходов на приобретение основных средств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(оборудование, производственный и хозяйственный инвентарь) </w:t>
      </w:r>
      <w:r>
        <w:rPr>
          <w:szCs w:val="28"/>
        </w:rPr>
        <w:t xml:space="preserve">стоимостью до четырехсот тысяч рублей за единицу. Ранее за счет средств обязательного медицинского страхования допускалось приобретение основных средств стоимостью до ста тысяч рублей за единицу.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80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Cs w:val="28"/>
        </w:rPr>
        <w:t xml:space="preserve">Во исполнение </w:t>
      </w:r>
      <w:r>
        <w:rPr>
          <w:szCs w:val="28"/>
        </w:rPr>
        <w:t xml:space="preserve">части 7</w:t>
      </w:r>
      <w:r>
        <w:rPr>
          <w:szCs w:val="28"/>
          <w:vertAlign w:val="superscript"/>
        </w:rPr>
        <w:t xml:space="preserve">1</w:t>
      </w:r>
      <w:r>
        <w:rPr>
          <w:szCs w:val="28"/>
        </w:rPr>
        <w:t xml:space="preserve"> статьи 35</w:t>
      </w:r>
      <w:r>
        <w:rPr>
          <w:szCs w:val="28"/>
        </w:rPr>
        <w:t xml:space="preserve"> </w:t>
      </w:r>
      <w:r>
        <w:rPr>
          <w:szCs w:val="28"/>
        </w:rPr>
        <w:t xml:space="preserve">Федерального закона от 29.11.2010 № 326-ФЗ «Об обязательном медицинском страховании в Российской Федерации»</w:t>
      </w:r>
      <w:r>
        <w:rPr>
          <w:szCs w:val="28"/>
        </w:rPr>
        <w:t xml:space="preserve"> Проектом постановления предусматривается утверждение направлений расходования остатков средств обязательного медицинского страхования, образованных на счетах медицинских организаций (после погашения всех обязательств, связанных </w:t>
      </w:r>
      <w:r>
        <w:rPr>
          <w:szCs w:val="28"/>
        </w:rPr>
        <w:t xml:space="preserve">с реализацией территориальной программы обязательного медицинского страхования за прошедший год). Направление остатков средств обязательного медицинского страхования предусматривается на приобретение оборудования стоимостью свыше 1 млн рублей за единицу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арендную плату, в том числе на финансовую аренду медицинского оборудования (лизинг), а также выкуп предмета лизинга в соответствии со статьей 624 Гражданского кодекса Российской Федерации с размером платежа свыше 1 млн рублей в год за один объект лизинга.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80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szCs w:val="28"/>
        </w:rPr>
        <w:t xml:space="preserve">Программой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Проектом постановления предусматривается утверждение перечня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иссле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дований и иных медицинских вмешательств, проводимых в рамках диспансеризации взрослого населения репродуктивного возраста по оценке репродуктивного здоровья (приложение 22 к Территориальной программе) за счет средств обязательного медицинского страхования.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80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отношении работающих застрахованных лиц по месту осуществления служебной деятельности предусмотрены особенности проведения диспансерного наблюдения в целях профилактики развития профессиональных заболеваний или осложнений, обострений ранее сформированных 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ронических неинфекционных заболеваний.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80" w:lineRule="atLeast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Проектом постановления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предусмотрено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оведение страховой медицинской организацией экспертиз качества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и) и доведение результатов до членов комиссии по разработке территориальной программы обязательного медицинского страхования. Кроме того предусматривается обязательство страховой медицинской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направлению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результатов медико-экономической экспертизы и экспертизы качества медицинской помощи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Федеральную службу по надзору в сфере здравоохранени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для рассмотрения и принятия мер реагирования в соответствии с законодательством Российской Федерации в отношении случаев выявления у гражданина в течение 1 года после прохождения диспансеризации заболевания, которое могло быть выявлено на диспансеризации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80" w:lineRule="atLeast"/>
        <w:ind w:right="0" w:firstLine="709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письмом Минздрава России от 31.01.2024 № 31-2/И/2-1602 «О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2024–2026 годы»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Проектом постановления предусмотрено изложение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полного пронумерованного перечня мед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ицинских организаций, участвующих в реализации Территориальной программы, в том числе Территориальной программы ОМС в соответствии с реестром медицинских организаций, осуществляющих деятельность в сфере обязательного медицинского страхования, с указанием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едицинских органи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заций, проводящих профилактические медицинские осмотры и диспансеризацию, в том числе углубленную и для оценки репродуктивного здоровья женщин и мужчин, а также диспансерное наблюдение и медицинскую реабилитацию по установленной форме согласно разъяснениям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80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Кроме того, Проектом постановления предусматриваются уточнение отдельных положений в связи с выявленными расхождениями и неточностями относительно утвержденных Программой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положений в связи с разработкой Территориальной программы на основе проекта Программы.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0"/>
        <w:pBdr/>
        <w:spacing/>
        <w:ind w:firstLine="709"/>
        <w:jc w:val="both"/>
        <w:rPr/>
      </w:pPr>
      <w:r>
        <w:t xml:space="preserve">Проектом постановления не предусматривает</w:t>
      </w:r>
      <w:r>
        <w:t xml:space="preserve">ся внесение изменений в финансовое обеспечение Территориальной программы, изменение нормативов объемов медицинской помощи и нормативов финансовых затрат за единицу объема медицинской помощи за счет средств краевого бюджета и средств обязательного медицинск</w:t>
      </w:r>
      <w:r>
        <w:t xml:space="preserve">ого страхования в связи с проведением в настоящее время Минздравом России совместно с Федеральным фондом обязательного медицинского страхования работы над заключением о соответствии утвержденной Территориальной программы Программе в порядке, установленном </w:t>
      </w:r>
      <w:r>
        <w:t xml:space="preserve">приказом Минздрава России от 26.06.2015 № 370н «Об утверждении Положения об осуществлении мониторинга формирования, экономического обоснования территориальных программ государственных гарантий бесплатного оказания гражданам медицинской помощи»</w:t>
      </w:r>
      <w:r>
        <w:t xml:space="preserve">.</w:t>
      </w:r>
      <w:r>
        <w:rPr>
          <w:szCs w:val="28"/>
        </w:rPr>
      </w:r>
      <w:r/>
    </w:p>
    <w:p>
      <w:pPr>
        <w:pBdr/>
        <w:spacing/>
        <w:ind w:firstLine="709"/>
        <w:jc w:val="both"/>
        <w:rPr/>
      </w:pPr>
      <w:r>
        <w:t xml:space="preserve">После поступления заключения Ми</w:t>
      </w:r>
      <w:r>
        <w:t xml:space="preserve">нздрава России совместно с Федеральным фондом обязательного медицинского страхования о замечаниях на утвержденную Территориальную программу работа по приведению Территориальной программы в соответствие с Программой будет продолжена в установленном порядке.</w:t>
      </w:r>
      <w:r>
        <w:rPr>
          <w:szCs w:val="28"/>
        </w:rPr>
      </w:r>
      <w:r/>
    </w:p>
    <w:p>
      <w:pPr>
        <w:pStyle w:val="850"/>
        <w:pBdr/>
        <w:spacing/>
        <w:ind w:firstLine="709"/>
        <w:jc w:val="both"/>
        <w:rPr/>
      </w:pPr>
      <w:r>
        <w:rPr>
          <w:szCs w:val="28"/>
        </w:rPr>
        <w:t xml:space="preserve">Для реа</w:t>
      </w:r>
      <w:r>
        <w:t xml:space="preserve">лизации настоящего постановления Правительства Камчатского края не потребуются дополнительные средства краевого бюджета.</w:t>
      </w:r>
      <w:r/>
    </w:p>
    <w:p>
      <w:pPr>
        <w:pStyle w:val="850"/>
        <w:pBdr/>
        <w:spacing/>
        <w:ind w:firstLine="709"/>
        <w:jc w:val="both"/>
        <w:rPr/>
      </w:pPr>
      <w:r>
        <w:t xml:space="preserve">Проект постановления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</w:t>
      </w:r>
      <w:r>
        <w:rPr>
          <w:lang w:val="en-US"/>
        </w:rPr>
        <w:t xml:space="preserve">p</w:t>
      </w:r>
      <w:r>
        <w:t xml:space="preserve">://npaproject.kamgov.ru) для обеспечения возможности проведения в срок</w:t>
        <w:br/>
        <w:t xml:space="preserve">до 12.03.2023 независимой антикоррупционной экспертизы.</w:t>
      </w:r>
      <w:r/>
    </w:p>
    <w:p>
      <w:pPr>
        <w:pStyle w:val="850"/>
        <w:pBdr/>
        <w:spacing/>
        <w:ind w:firstLine="709"/>
        <w:jc w:val="both"/>
        <w:rPr/>
      </w:pPr>
      <w:r>
        <w:t xml:space="preserve">Проект постановления не подлежит оценке регулирующего воздействия в соответствии с постановлением Прави</w:t>
      </w:r>
      <w:r>
        <w:t xml:space="preserve">тельства Камчатского края от 28.09.2022</w:t>
        <w:br/>
        <w:t xml:space="preserve">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  <w:r/>
    </w:p>
    <w:sectPr>
      <w:headerReference w:type="default" r:id="rId8"/>
      <w:headerReference w:type="first" r:id="rId9"/>
      <w:footnotePr/>
      <w:endnotePr/>
      <w:type w:val="nextPage"/>
      <w:pgSz w:h="16838" w:orient="landscape" w:w="11906"/>
      <w:pgMar w:top="1350" w:right="551" w:bottom="1134" w:left="1440" w:header="780" w:footer="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Lohit Devanagari">
    <w:panose1 w:val="020B0600000000000000"/>
  </w:font>
  <w:font w:name="Open Sans">
    <w:panose1 w:val="020B06060305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852"/>
    <w:link w:val="85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850"/>
    <w:next w:val="850"/>
    <w:link w:val="68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2"/>
    <w:link w:val="68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3">
    <w:name w:val="Heading 3"/>
    <w:basedOn w:val="850"/>
    <w:next w:val="850"/>
    <w:link w:val="68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2"/>
    <w:link w:val="68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850"/>
    <w:next w:val="850"/>
    <w:link w:val="68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2"/>
    <w:link w:val="68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0"/>
    <w:next w:val="850"/>
    <w:link w:val="68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2"/>
    <w:link w:val="6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0"/>
    <w:next w:val="850"/>
    <w:link w:val="69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2"/>
    <w:link w:val="68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0"/>
    <w:next w:val="850"/>
    <w:link w:val="69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2"/>
    <w:link w:val="69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0"/>
    <w:next w:val="850"/>
    <w:link w:val="69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2"/>
    <w:link w:val="69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0"/>
    <w:next w:val="850"/>
    <w:link w:val="69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2"/>
    <w:link w:val="6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character" w:styleId="698">
    <w:name w:val="Title Char"/>
    <w:basedOn w:val="852"/>
    <w:link w:val="863"/>
    <w:uiPriority w:val="10"/>
    <w:pPr>
      <w:pBdr/>
      <w:spacing/>
      <w:ind/>
    </w:pPr>
    <w:rPr>
      <w:sz w:val="48"/>
      <w:szCs w:val="48"/>
    </w:rPr>
  </w:style>
  <w:style w:type="paragraph" w:styleId="699">
    <w:name w:val="Subtitle"/>
    <w:basedOn w:val="850"/>
    <w:next w:val="850"/>
    <w:link w:val="70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0">
    <w:name w:val="Subtitle Char"/>
    <w:basedOn w:val="852"/>
    <w:link w:val="699"/>
    <w:uiPriority w:val="11"/>
    <w:pPr>
      <w:pBdr/>
      <w:spacing/>
      <w:ind/>
    </w:pPr>
    <w:rPr>
      <w:sz w:val="24"/>
      <w:szCs w:val="24"/>
    </w:rPr>
  </w:style>
  <w:style w:type="paragraph" w:styleId="701">
    <w:name w:val="Quote"/>
    <w:basedOn w:val="850"/>
    <w:next w:val="850"/>
    <w:link w:val="702"/>
    <w:uiPriority w:val="29"/>
    <w:qFormat/>
    <w:pPr>
      <w:pBdr/>
      <w:spacing/>
      <w:ind w:right="720" w:left="720"/>
    </w:pPr>
    <w:rPr>
      <w:i/>
    </w:rPr>
  </w:style>
  <w:style w:type="character" w:styleId="702">
    <w:name w:val="Quote Char"/>
    <w:link w:val="701"/>
    <w:uiPriority w:val="29"/>
    <w:pPr>
      <w:pBdr/>
      <w:spacing/>
      <w:ind/>
    </w:pPr>
    <w:rPr>
      <w:i/>
    </w:rPr>
  </w:style>
  <w:style w:type="paragraph" w:styleId="703">
    <w:name w:val="Intense Quote"/>
    <w:basedOn w:val="850"/>
    <w:next w:val="850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4">
    <w:name w:val="Intense Quote Char"/>
    <w:link w:val="703"/>
    <w:uiPriority w:val="30"/>
    <w:pPr>
      <w:pBdr/>
      <w:spacing/>
      <w:ind/>
    </w:pPr>
    <w:rPr>
      <w:i/>
    </w:rPr>
  </w:style>
  <w:style w:type="character" w:styleId="705">
    <w:name w:val="Header Char"/>
    <w:basedOn w:val="852"/>
    <w:link w:val="867"/>
    <w:uiPriority w:val="99"/>
    <w:pPr>
      <w:pBdr/>
      <w:spacing/>
      <w:ind/>
    </w:pPr>
  </w:style>
  <w:style w:type="character" w:styleId="706">
    <w:name w:val="Footer Char"/>
    <w:basedOn w:val="852"/>
    <w:link w:val="876"/>
    <w:uiPriority w:val="99"/>
    <w:pPr>
      <w:pBdr/>
      <w:spacing/>
      <w:ind/>
    </w:pPr>
  </w:style>
  <w:style w:type="character" w:styleId="707">
    <w:name w:val="Caption Char"/>
    <w:basedOn w:val="864"/>
    <w:link w:val="876"/>
    <w:uiPriority w:val="99"/>
    <w:pPr>
      <w:pBdr/>
      <w:spacing/>
      <w:ind/>
    </w:pPr>
  </w:style>
  <w:style w:type="table" w:styleId="70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34">
    <w:name w:val="Footnote Text Char"/>
    <w:link w:val="833"/>
    <w:uiPriority w:val="99"/>
    <w:pPr>
      <w:pBdr/>
      <w:spacing/>
      <w:ind/>
    </w:pPr>
    <w:rPr>
      <w:sz w:val="18"/>
    </w:rPr>
  </w:style>
  <w:style w:type="character" w:styleId="835">
    <w:name w:val="footnote reference"/>
    <w:basedOn w:val="852"/>
    <w:uiPriority w:val="99"/>
    <w:unhideWhenUsed/>
    <w:pPr>
      <w:pBdr/>
      <w:spacing/>
      <w:ind/>
    </w:pPr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7">
    <w:name w:val="Endnote Text Char"/>
    <w:link w:val="836"/>
    <w:uiPriority w:val="99"/>
    <w:pPr>
      <w:pBdr/>
      <w:spacing/>
      <w:ind/>
    </w:pPr>
    <w:rPr>
      <w:sz w:val="20"/>
    </w:rPr>
  </w:style>
  <w:style w:type="character" w:styleId="838">
    <w:name w:val="endnote reference"/>
    <w:basedOn w:val="852"/>
    <w:uiPriority w:val="99"/>
    <w:semiHidden/>
    <w:unhideWhenUsed/>
    <w:pPr>
      <w:pBdr/>
      <w:spacing/>
      <w:ind/>
    </w:pPr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pBdr/>
      <w:spacing w:after="57"/>
      <w:ind w:right="0" w:firstLine="0" w:left="0"/>
    </w:pPr>
  </w:style>
  <w:style w:type="paragraph" w:styleId="840">
    <w:name w:val="toc 2"/>
    <w:basedOn w:val="850"/>
    <w:next w:val="850"/>
    <w:uiPriority w:val="39"/>
    <w:unhideWhenUsed/>
    <w:pPr>
      <w:pBdr/>
      <w:spacing w:after="57"/>
      <w:ind w:right="0" w:firstLine="0" w:left="283"/>
    </w:pPr>
  </w:style>
  <w:style w:type="paragraph" w:styleId="841">
    <w:name w:val="toc 3"/>
    <w:basedOn w:val="850"/>
    <w:next w:val="850"/>
    <w:uiPriority w:val="39"/>
    <w:unhideWhenUsed/>
    <w:pPr>
      <w:pBdr/>
      <w:spacing w:after="57"/>
      <w:ind w:right="0" w:firstLine="0" w:left="567"/>
    </w:pPr>
  </w:style>
  <w:style w:type="paragraph" w:styleId="842">
    <w:name w:val="toc 4"/>
    <w:basedOn w:val="850"/>
    <w:next w:val="850"/>
    <w:uiPriority w:val="39"/>
    <w:unhideWhenUsed/>
    <w:pPr>
      <w:pBdr/>
      <w:spacing w:after="57"/>
      <w:ind w:right="0" w:firstLine="0" w:left="850"/>
    </w:pPr>
  </w:style>
  <w:style w:type="paragraph" w:styleId="843">
    <w:name w:val="toc 5"/>
    <w:basedOn w:val="850"/>
    <w:next w:val="850"/>
    <w:uiPriority w:val="39"/>
    <w:unhideWhenUsed/>
    <w:pPr>
      <w:pBdr/>
      <w:spacing w:after="57"/>
      <w:ind w:right="0" w:firstLine="0" w:left="1134"/>
    </w:pPr>
  </w:style>
  <w:style w:type="paragraph" w:styleId="844">
    <w:name w:val="toc 6"/>
    <w:basedOn w:val="850"/>
    <w:next w:val="850"/>
    <w:uiPriority w:val="39"/>
    <w:unhideWhenUsed/>
    <w:pPr>
      <w:pBdr/>
      <w:spacing w:after="57"/>
      <w:ind w:right="0" w:firstLine="0" w:left="1417"/>
    </w:pPr>
  </w:style>
  <w:style w:type="paragraph" w:styleId="845">
    <w:name w:val="toc 7"/>
    <w:basedOn w:val="850"/>
    <w:next w:val="850"/>
    <w:uiPriority w:val="39"/>
    <w:unhideWhenUsed/>
    <w:pPr>
      <w:pBdr/>
      <w:spacing w:after="57"/>
      <w:ind w:right="0" w:firstLine="0" w:left="1701"/>
    </w:pPr>
  </w:style>
  <w:style w:type="paragraph" w:styleId="846">
    <w:name w:val="toc 8"/>
    <w:basedOn w:val="850"/>
    <w:next w:val="850"/>
    <w:uiPriority w:val="39"/>
    <w:unhideWhenUsed/>
    <w:pPr>
      <w:pBdr/>
      <w:spacing w:after="57"/>
      <w:ind w:right="0" w:firstLine="0" w:left="1984"/>
    </w:pPr>
  </w:style>
  <w:style w:type="paragraph" w:styleId="847">
    <w:name w:val="toc 9"/>
    <w:basedOn w:val="850"/>
    <w:next w:val="850"/>
    <w:uiPriority w:val="39"/>
    <w:unhideWhenUsed/>
    <w:pPr>
      <w:pBdr/>
      <w:spacing w:after="57"/>
      <w:ind w:right="0" w:firstLine="0" w:left="2268"/>
    </w:pPr>
  </w:style>
  <w:style w:type="paragraph" w:styleId="848">
    <w:name w:val="TOC Heading"/>
    <w:uiPriority w:val="39"/>
    <w:unhideWhenUsed/>
    <w:pPr>
      <w:pBdr/>
      <w:spacing/>
      <w:ind/>
    </w:pPr>
  </w:style>
  <w:style w:type="paragraph" w:styleId="849">
    <w:name w:val="table of figures"/>
    <w:basedOn w:val="850"/>
    <w:next w:val="850"/>
    <w:uiPriority w:val="99"/>
    <w:unhideWhenUsed/>
    <w:pPr>
      <w:pBdr/>
      <w:spacing w:after="0" w:afterAutospacing="0"/>
      <w:ind/>
    </w:pPr>
  </w:style>
  <w:style w:type="paragraph" w:styleId="850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851">
    <w:name w:val="Heading 1"/>
    <w:basedOn w:val="850"/>
    <w:next w:val="850"/>
    <w:qFormat/>
    <w:pPr>
      <w:widowControl w:val="false"/>
      <w:pBdr/>
      <w:spacing w:after="108" w:before="108"/>
      <w:ind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styleId="85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53">
    <w:name w:val="page number"/>
    <w:basedOn w:val="852"/>
    <w:qFormat/>
    <w:pPr>
      <w:pBdr/>
      <w:spacing/>
      <w:ind/>
    </w:pPr>
  </w:style>
  <w:style w:type="character" w:styleId="854" w:customStyle="1">
    <w:name w:val="Основной текст с отступом Знак"/>
    <w:uiPriority w:val="99"/>
    <w:qFormat/>
    <w:pPr>
      <w:pBdr/>
      <w:spacing/>
      <w:ind/>
    </w:pPr>
    <w:rPr>
      <w:sz w:val="28"/>
      <w:lang w:val="ru-RU" w:eastAsia="ru-RU" w:bidi="ar-SA"/>
    </w:rPr>
  </w:style>
  <w:style w:type="character" w:styleId="855">
    <w:name w:val="Hyperlink"/>
    <w:pPr>
      <w:pBdr/>
      <w:spacing/>
      <w:ind/>
    </w:pPr>
    <w:rPr>
      <w:color w:val="0000ff"/>
      <w:u w:val="single"/>
    </w:rPr>
  </w:style>
  <w:style w:type="character" w:styleId="856" w:customStyle="1">
    <w:name w:val="Основной текст 2 Знак"/>
    <w:link w:val="879"/>
    <w:qFormat/>
    <w:pPr>
      <w:pBdr/>
      <w:spacing/>
      <w:ind/>
    </w:pPr>
    <w:rPr>
      <w:sz w:val="28"/>
    </w:rPr>
  </w:style>
  <w:style w:type="character" w:styleId="857" w:customStyle="1">
    <w:name w:val="Текст выноски Знак"/>
    <w:link w:val="872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858">
    <w:name w:val="Заголовок"/>
    <w:basedOn w:val="850"/>
    <w:next w:val="859"/>
    <w:qFormat/>
    <w:pPr>
      <w:keepNext w:val="true"/>
      <w:pBdr/>
      <w:spacing w:after="120" w:before="240"/>
      <w:ind/>
    </w:pPr>
    <w:rPr>
      <w:rFonts w:ascii="Open Sans" w:hAnsi="Open Sans" w:eastAsia="Tahoma" w:cs="Lohit Devanagari"/>
      <w:sz w:val="28"/>
      <w:szCs w:val="28"/>
    </w:rPr>
  </w:style>
  <w:style w:type="paragraph" w:styleId="859">
    <w:name w:val="Body Text"/>
    <w:basedOn w:val="850"/>
    <w:pPr>
      <w:pBdr/>
      <w:spacing w:after="140" w:before="0" w:line="276" w:lineRule="auto"/>
      <w:ind/>
    </w:pPr>
  </w:style>
  <w:style w:type="paragraph" w:styleId="860">
    <w:name w:val="List"/>
    <w:basedOn w:val="859"/>
    <w:pPr>
      <w:pBdr/>
      <w:spacing/>
      <w:ind/>
    </w:pPr>
    <w:rPr>
      <w:rFonts w:cs="Lohit Devanagari"/>
    </w:rPr>
  </w:style>
  <w:style w:type="paragraph" w:styleId="861">
    <w:name w:val="Caption"/>
    <w:basedOn w:val="850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862">
    <w:name w:val="Указатель"/>
    <w:basedOn w:val="850"/>
    <w:qFormat/>
    <w:pPr>
      <w:suppressLineNumbers w:val="true"/>
      <w:pBdr/>
      <w:spacing/>
      <w:ind/>
    </w:pPr>
    <w:rPr>
      <w:rFonts w:cs="Lohit Devanagari"/>
    </w:rPr>
  </w:style>
  <w:style w:type="paragraph" w:styleId="863">
    <w:name w:val="Title"/>
    <w:basedOn w:val="850"/>
    <w:next w:val="859"/>
    <w:qFormat/>
    <w:pPr>
      <w:keepNext w:val="true"/>
      <w:pBdr/>
      <w:spacing w:after="120" w:before="240"/>
      <w:ind/>
    </w:pPr>
    <w:rPr>
      <w:rFonts w:ascii="Open Sans" w:hAnsi="Open Sans" w:eastAsia="Tahoma" w:cs="Lohit Devanagari"/>
      <w:szCs w:val="28"/>
    </w:rPr>
  </w:style>
  <w:style w:type="paragraph" w:styleId="864">
    <w:name w:val="Caption"/>
    <w:basedOn w:val="850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865">
    <w:name w:val="index heading"/>
    <w:basedOn w:val="850"/>
    <w:qFormat/>
    <w:pPr>
      <w:suppressLineNumbers w:val="true"/>
      <w:pBdr/>
      <w:spacing/>
      <w:ind/>
    </w:pPr>
    <w:rPr>
      <w:rFonts w:cs="Lohit Devanagari"/>
    </w:rPr>
  </w:style>
  <w:style w:type="paragraph" w:styleId="866" w:customStyle="1">
    <w:name w:val="Колонтитул"/>
    <w:basedOn w:val="850"/>
    <w:qFormat/>
    <w:pPr>
      <w:pBdr/>
      <w:spacing/>
      <w:ind/>
    </w:pPr>
  </w:style>
  <w:style w:type="paragraph" w:styleId="867">
    <w:name w:val="Header"/>
    <w:basedOn w:val="850"/>
    <w:pPr>
      <w:pBdr/>
      <w:tabs>
        <w:tab w:val="clear" w:leader="none" w:pos="709"/>
        <w:tab w:val="center" w:leader="none" w:pos="4536"/>
        <w:tab w:val="right" w:leader="none" w:pos="9072"/>
      </w:tabs>
      <w:spacing/>
      <w:ind/>
    </w:pPr>
  </w:style>
  <w:style w:type="paragraph" w:styleId="868" w:customStyle="1">
    <w:name w:val="ConsPlusNormal"/>
    <w:qFormat/>
    <w:pPr>
      <w:widowControl w:val="false"/>
      <w:pBdr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69" w:customStyle="1">
    <w:name w:val="ConsPlusTitle"/>
    <w:qFormat/>
    <w:pPr>
      <w:widowControl w:val="false"/>
      <w:pBdr/>
      <w:spacing w:after="0" w:before="0"/>
      <w:ind/>
      <w:jc w:val="left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870" w:customStyle="1">
    <w:name w:val="Текст (лев. подпись)"/>
    <w:basedOn w:val="850"/>
    <w:next w:val="850"/>
    <w:qFormat/>
    <w:pPr>
      <w:widowControl w:val="false"/>
      <w:pBdr/>
      <w:spacing/>
      <w:ind/>
    </w:pPr>
    <w:rPr>
      <w:rFonts w:ascii="Arial" w:hAnsi="Arial"/>
      <w:sz w:val="20"/>
    </w:rPr>
  </w:style>
  <w:style w:type="paragraph" w:styleId="871" w:customStyle="1">
    <w:name w:val="Текст (прав. подпись)"/>
    <w:basedOn w:val="850"/>
    <w:next w:val="850"/>
    <w:qFormat/>
    <w:pPr>
      <w:widowControl w:val="false"/>
      <w:pBdr/>
      <w:spacing/>
      <w:ind/>
      <w:jc w:val="right"/>
    </w:pPr>
    <w:rPr>
      <w:rFonts w:ascii="Arial" w:hAnsi="Arial"/>
      <w:sz w:val="20"/>
    </w:rPr>
  </w:style>
  <w:style w:type="paragraph" w:styleId="872">
    <w:name w:val="Balloon Text"/>
    <w:basedOn w:val="850"/>
    <w:link w:val="857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873" w:customStyle="1">
    <w:name w:val="Комментарий"/>
    <w:basedOn w:val="850"/>
    <w:next w:val="850"/>
    <w:qFormat/>
    <w:pPr>
      <w:widowControl w:val="false"/>
      <w:pBdr/>
      <w:spacing/>
      <w:ind w:firstLine="0" w:left="170"/>
      <w:jc w:val="both"/>
    </w:pPr>
    <w:rPr>
      <w:rFonts w:ascii="Arial" w:hAnsi="Arial"/>
      <w:i/>
      <w:iCs/>
      <w:color w:val="800080"/>
      <w:sz w:val="20"/>
    </w:rPr>
  </w:style>
  <w:style w:type="paragraph" w:styleId="874">
    <w:name w:val="Body Text Indent"/>
    <w:basedOn w:val="850"/>
    <w:link w:val="854"/>
    <w:pPr>
      <w:pBdr/>
      <w:spacing/>
      <w:ind w:firstLine="480"/>
      <w:jc w:val="both"/>
    </w:pPr>
  </w:style>
  <w:style w:type="paragraph" w:styleId="875" w:customStyle="1">
    <w:name w:val="Знак Знак Знак Знак Знак Знак Знак Знак Знак Знак Знак Знак Знак Знак Знак Знак Знак Знак Знак Знак Знак1 Знак"/>
    <w:basedOn w:val="850"/>
    <w:qFormat/>
    <w:pPr>
      <w:pBdr/>
      <w:spacing w:afterAutospacing="1" w:beforeAutospacing="1"/>
      <w:ind/>
    </w:pPr>
    <w:rPr>
      <w:rFonts w:ascii="Tahoma" w:hAnsi="Tahoma" w:cs="Tahoma"/>
      <w:sz w:val="20"/>
      <w:lang w:val="en-US" w:eastAsia="en-US"/>
    </w:rPr>
  </w:style>
  <w:style w:type="paragraph" w:styleId="876">
    <w:name w:val="Footer"/>
    <w:basedOn w:val="850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</w:style>
  <w:style w:type="paragraph" w:styleId="877">
    <w:name w:val="List Paragraph"/>
    <w:basedOn w:val="850"/>
    <w:uiPriority w:val="34"/>
    <w:qFormat/>
    <w:pPr>
      <w:pBdr/>
      <w:spacing w:after="200" w:before="0" w:line="276" w:lineRule="auto"/>
      <w:ind w:firstLine="0"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878" w:customStyle="1">
    <w:name w:val="ConsNormal"/>
    <w:qFormat/>
    <w:pPr>
      <w:widowControl w:val="false"/>
      <w:pBdr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79">
    <w:name w:val="Body Text 2"/>
    <w:basedOn w:val="850"/>
    <w:link w:val="856"/>
    <w:qFormat/>
    <w:pPr>
      <w:pBdr/>
      <w:spacing w:after="120" w:before="0" w:line="480" w:lineRule="auto"/>
      <w:ind/>
    </w:pPr>
  </w:style>
  <w:style w:type="paragraph" w:styleId="880" w:customStyle="1">
    <w:name w:val="ConsPlusNonformat"/>
    <w:qFormat/>
    <w:pPr>
      <w:widowControl w:val="false"/>
      <w:pBdr/>
      <w:spacing w:after="0" w:before="0"/>
      <w:ind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numbering" w:styleId="881" w:default="1">
    <w:name w:val="No List"/>
    <w:uiPriority w:val="99"/>
    <w:semiHidden/>
    <w:unhideWhenUsed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Table Grid"/>
    <w:basedOn w:val="88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Table Contemporary"/>
    <w:basedOn w:val="882"/>
    <w:pPr>
      <w:pBdr/>
      <w:spacing/>
      <w:ind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cPr>
      <w:tcBorders/>
    </w:tcPr>
    <w:tblStylePr w:type="band1Horz">
      <w:rPr>
        <w:color w:val="auto"/>
      </w:rPr>
      <w:pPr>
        <w:pBdr/>
        <w:spacing/>
        <w:ind/>
      </w:pPr>
      <w:tblPr>
        <w:tblBorders/>
      </w:tblPr>
      <w:tcPr>
        <w:shd w:val="pct5" w:color="000000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auto"/>
      </w:rPr>
      <w:pPr>
        <w:pBdr/>
        <w:spacing/>
        <w:ind/>
      </w:pPr>
      <w:tblPr>
        <w:tblBorders/>
      </w:tblPr>
      <w:tcPr>
        <w:shd w:val="pct20" w:color="000000" w:fill="ffffff"/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auto"/>
      </w:rPr>
      <w:pPr>
        <w:pBdr/>
        <w:spacing/>
        <w:ind/>
      </w:pPr>
      <w:tblPr>
        <w:tblBorders/>
      </w:tblPr>
      <w:tcPr>
        <w:shd w:val="pct20" w:color="000000" w:fill="ffffff"/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0E898-A034-4665-8B9E-A9E0E332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ТФОМС Камчатского края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rbcf</dc:creator>
  <dc:description/>
  <dc:language>ru-RU</dc:language>
  <cp:revision>6</cp:revision>
  <dcterms:created xsi:type="dcterms:W3CDTF">2023-10-26T00:04:00Z</dcterms:created>
  <dcterms:modified xsi:type="dcterms:W3CDTF">2024-02-28T22:58:38Z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