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tabs>
          <w:tab w:leader="none" w:pos="6663" w:val="left"/>
          <w:tab w:leader="none" w:pos="7371" w:val="left"/>
          <w:tab w:leader="none" w:pos="7797" w:val="left"/>
        </w:tabs>
        <w:ind/>
        <w:jc w:val="both"/>
      </w:pPr>
    </w:p>
    <w:p w14:paraId="02000000">
      <w:pPr>
        <w:ind/>
        <w:jc w:val="center"/>
      </w:pPr>
      <w:r>
        <w:t>Пояснительная записка</w:t>
      </w:r>
    </w:p>
    <w:p w14:paraId="03000000">
      <w:pPr>
        <w:ind/>
        <w:jc w:val="center"/>
      </w:pPr>
      <w:r>
        <w:t>к проекту постановления Правительства Камчатского края</w:t>
      </w:r>
    </w:p>
    <w:p w14:paraId="04000000">
      <w:pPr>
        <w:ind/>
        <w:jc w:val="center"/>
      </w:pPr>
      <w:r>
        <w:t>«</w:t>
      </w:r>
      <w:r>
        <w:t xml:space="preserve">О внесении изменений в приложение к </w:t>
      </w:r>
      <w:r>
        <w:t>п</w:t>
      </w:r>
      <w:r>
        <w:t>остановлению</w:t>
      </w:r>
      <w:r>
        <w:t xml:space="preserve"> Правительства Камчатского края от 24.11.2008 № 385-П </w:t>
      </w:r>
      <w:r>
        <w:t>«</w:t>
      </w:r>
      <w:r>
        <w:t>Об утверждении Примерного положения о системе оплаты труда работников государственных учреждений, подведомственных Министерству здравоохранения Камчатского края</w:t>
      </w:r>
      <w:r>
        <w:t>»</w:t>
      </w:r>
      <w:r>
        <w:t xml:space="preserve"> </w:t>
      </w:r>
      <w:r>
        <w:t xml:space="preserve"> </w:t>
      </w:r>
    </w:p>
    <w:p w14:paraId="05000000">
      <w:pPr>
        <w:ind w:firstLine="709" w:left="0"/>
        <w:jc w:val="both"/>
      </w:pPr>
    </w:p>
    <w:p w14:paraId="06000000">
      <w:pPr>
        <w:ind w:firstLine="709" w:left="0"/>
        <w:jc w:val="both"/>
      </w:pPr>
      <w:r>
        <w:t>В соответствии с частью 2 постановления Правительства российской Федерации от 20.03.2024 № 343 «О внесении изменений в некоторые акты Правительства российской Федерации» в части обеспечения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w:t>
      </w:r>
      <w:r>
        <w:t xml:space="preserve">иков, и во исполнения поручения Голиковой Т.А. от 03.0,4.2024 № ТГ-П12-9811в части недопущения перекосов по оплате труда административно-управленческого и прочего персонала </w:t>
      </w:r>
      <w:r>
        <w:t>разработан настоящий проект постановления Правительства Камчатского края «</w:t>
      </w:r>
      <w:r>
        <w:t xml:space="preserve">О внесении изменений в приложение к </w:t>
      </w:r>
      <w:r>
        <w:t>п</w:t>
      </w:r>
      <w:r>
        <w:t>остановлению</w:t>
      </w:r>
      <w:r>
        <w:t xml:space="preserve"> Правительства Камчатского края от 24.11.2008 № 385-П </w:t>
      </w:r>
      <w:r>
        <w:t>«</w:t>
      </w:r>
      <w:r>
        <w:t>Об утверждении Примерного положения о системе оплаты труда работников государственных учреждений, подведомственных Министерству здравоохранения Камчатского края» (далее – примерное положение)</w:t>
      </w:r>
      <w:r>
        <w:t>, в котором внесены следующие изменения:</w:t>
      </w:r>
    </w:p>
    <w:p w14:paraId="07000000">
      <w:pPr>
        <w:numPr>
          <w:numId w:val="1"/>
        </w:numPr>
        <w:ind w:firstLine="709" w:left="0"/>
        <w:jc w:val="both"/>
      </w:pPr>
      <w:r>
        <w:t xml:space="preserve">Проанализировав текущую систему оплаты труда работников медицинских организаций, подведомственных Министерству здравоохранения Камчатского края (далее – Министерство), и определив долю </w:t>
      </w:r>
      <w:r>
        <w:t>долю выплат по окладам,</w:t>
      </w:r>
      <w:r>
        <w:t xml:space="preserve"> можно сделать вывод, что структура заработной платы в учреждениях разная. Доля окладной части в учреждениях составляет от 20% до 63%, а в среднем 33%. В случае если всем учреждениям увеличивать оклады 1,5 раза либо в 2 раза, по отдельным учреждениям увеличится фонд оплаты труда, что недопустимо. В связи с чем предлагаем применить повышающий коэффициент к окладу, которой, в свою очередь, сформирует должностной оклад. </w:t>
      </w:r>
    </w:p>
    <w:p w14:paraId="08000000">
      <w:pPr>
        <w:widowControl w:val="0"/>
        <w:spacing w:after="0" w:before="0" w:line="240" w:lineRule="auto"/>
        <w:ind w:firstLine="709" w:left="0"/>
        <w:jc w:val="both"/>
        <w:rPr>
          <w:rFonts w:ascii="Times New Roman" w:hAnsi="Times New Roman"/>
          <w:sz w:val="28"/>
        </w:rPr>
      </w:pPr>
      <w:r>
        <w:rPr>
          <w:rFonts w:ascii="Times New Roman" w:hAnsi="Times New Roman"/>
          <w:sz w:val="28"/>
        </w:rPr>
        <w:t xml:space="preserve"> Согласно части 15 проекта положения должностной оклад работника государственного учреждения, подведомственного Министерству здравоохранения Камчатского края,  предусматривает фиксированный размер оплаты труда работника за исполнение должностных (трудовых) обязанностей определенной сложности за календарный месяц без учета компенсационных и стимулирующих выплат, формируется от минимального должностного оклада, установленного по профессиональной квалификационной группе, с повышающими коэффициентами к окладам, за исключением работников, указанных в п.16 проекта постановления.</w:t>
      </w:r>
    </w:p>
    <w:p w14:paraId="09000000">
      <w:pPr>
        <w:widowControl w:val="0"/>
        <w:spacing w:after="0" w:before="0" w:line="240" w:lineRule="auto"/>
        <w:ind w:firstLine="709" w:left="0"/>
        <w:jc w:val="both"/>
        <w:rPr>
          <w:rFonts w:ascii="Times New Roman" w:hAnsi="Times New Roman"/>
          <w:sz w:val="28"/>
        </w:rPr>
      </w:pPr>
      <w:r>
        <w:rPr>
          <w:rFonts w:ascii="Times New Roman" w:hAnsi="Times New Roman"/>
          <w:sz w:val="28"/>
        </w:rPr>
        <w:t>Размеры повышающих коэффициентов к окладам устанавливаются в учреждениях самостоятельно и указываются в коллективном договоре и (или) локальных нормативных актах учреждения по согласованию с выборным профсоюзным органом (представительным органом работников).</w:t>
      </w:r>
    </w:p>
    <w:p w14:paraId="0A000000">
      <w:pPr>
        <w:widowControl w:val="0"/>
        <w:spacing w:after="0" w:before="0" w:line="240" w:lineRule="auto"/>
        <w:ind w:firstLine="709" w:left="0"/>
        <w:jc w:val="both"/>
        <w:rPr>
          <w:rFonts w:ascii="Times New Roman" w:hAnsi="Times New Roman"/>
          <w:sz w:val="28"/>
        </w:rPr>
      </w:pPr>
      <w:r>
        <w:rPr>
          <w:rFonts w:ascii="Times New Roman" w:hAnsi="Times New Roman"/>
          <w:sz w:val="28"/>
        </w:rPr>
        <w:t xml:space="preserve">Минимальные должностные оклады определены в </w:t>
      </w:r>
      <w:r>
        <w:rPr>
          <w:rFonts w:ascii="Times New Roman" w:hAnsi="Times New Roman"/>
          <w:color w:val="000000"/>
          <w:sz w:val="28"/>
        </w:rPr>
        <w:t xml:space="preserve">приложениях 1, </w:t>
      </w:r>
      <w:r>
        <w:rPr>
          <w:rFonts w:ascii="Times New Roman" w:hAnsi="Times New Roman"/>
          <w:color w:val="000000"/>
          <w:sz w:val="28"/>
        </w:rPr>
        <w:t xml:space="preserve">2, </w:t>
      </w:r>
      <w:r>
        <w:rPr>
          <w:rFonts w:ascii="Times New Roman" w:hAnsi="Times New Roman"/>
          <w:color w:val="000000"/>
          <w:sz w:val="28"/>
        </w:rPr>
        <w:t>3, 4</w:t>
      </w:r>
      <w:r>
        <w:rPr>
          <w:rFonts w:ascii="Times New Roman" w:hAnsi="Times New Roman"/>
          <w:color w:val="000000"/>
          <w:sz w:val="28"/>
        </w:rPr>
        <w:t xml:space="preserve"> и </w:t>
      </w:r>
      <w:r>
        <w:rPr>
          <w:rFonts w:ascii="Times New Roman" w:hAnsi="Times New Roman"/>
          <w:sz w:val="28"/>
        </w:rPr>
        <w:t xml:space="preserve">5 к </w:t>
      </w:r>
      <w:r>
        <w:rPr>
          <w:rFonts w:ascii="Times New Roman" w:hAnsi="Times New Roman"/>
          <w:sz w:val="28"/>
        </w:rPr>
        <w:t>проекту постановления</w:t>
      </w:r>
      <w:r>
        <w:rPr>
          <w:rFonts w:ascii="Times New Roman" w:hAnsi="Times New Roman"/>
          <w:sz w:val="28"/>
        </w:rPr>
        <w:t xml:space="preserve"> на основе отнесения занимаемых ими должностей и профессий рабочих к </w:t>
      </w:r>
      <w:r>
        <w:rPr>
          <w:rFonts w:ascii="Times New Roman" w:hAnsi="Times New Roman"/>
          <w:sz w:val="28"/>
        </w:rPr>
        <w:t>профессиональным квалификационным группам (далее - ПКГ)</w:t>
      </w:r>
      <w:r>
        <w:rPr>
          <w:rFonts w:ascii="Times New Roman" w:hAnsi="Times New Roman"/>
          <w:sz w:val="28"/>
        </w:rPr>
        <w:t>.</w:t>
      </w:r>
    </w:p>
    <w:p w14:paraId="0B000000">
      <w:pPr>
        <w:numPr>
          <w:numId w:val="1"/>
        </w:numPr>
        <w:ind w:firstLine="709" w:left="0"/>
        <w:jc w:val="both"/>
      </w:pPr>
      <w:r>
        <w:t xml:space="preserve">В соответствии с Методическими рекомендациями Министерства здравоохранения Российской Федерации от 29.03.2024 № 14-1/И/П-2380 и Министерства труда Российской Федерации от 29.03.2024 № 16-3/И/1-5816 в примерное положение  </w:t>
      </w:r>
      <w:r>
        <w:t>добавлены абзац 2 и 3 части 19  «</w:t>
      </w:r>
      <w:r>
        <w:rPr>
          <w:rFonts w:ascii="Times New Roman" w:hAnsi="Times New Roman"/>
          <w:sz w:val="28"/>
        </w:rPr>
        <w:t>Доля выплат по окладам в структуре фонда заработной платы медицинских работников, состоящих в трудовых отношениях с учреждениями, подведомственными Министерству здравоохранения Камчатског</w:t>
      </w:r>
      <w:r>
        <w:rPr>
          <w:rFonts w:ascii="Times New Roman" w:hAnsi="Times New Roman"/>
          <w:sz w:val="28"/>
        </w:rPr>
        <w:t xml:space="preserve">о края, составляет не менее 50 процентов без учета компенсационных выплат. </w:t>
      </w:r>
      <w:r>
        <w:rPr>
          <w:rFonts w:ascii="Times New Roman" w:hAnsi="Times New Roman"/>
          <w:sz w:val="28"/>
        </w:rPr>
        <w:t xml:space="preserve"> </w:t>
      </w:r>
    </w:p>
    <w:p w14:paraId="0C000000">
      <w:pPr>
        <w:ind w:firstLine="709" w:left="0"/>
        <w:jc w:val="both"/>
      </w:pPr>
      <w:r>
        <w:rPr>
          <w:rFonts w:ascii="Times New Roman" w:hAnsi="Times New Roman"/>
          <w:sz w:val="28"/>
        </w:rPr>
        <w:t>Оценку доли выплат по окладам в структуре фонда заработной платы рекомендуется проводить по всем категориям медицинских работников (без учета внутреннего совместительства и внешних совместителей). При оценке доли окладов в структуре заработной платы не учитываются выплаты, осуществляемые исходя из расчета среднего заработка.</w:t>
      </w:r>
      <w:r>
        <w:rPr>
          <w:rFonts w:ascii="Times New Roman" w:hAnsi="Times New Roman"/>
          <w:sz w:val="28"/>
        </w:rPr>
        <w:t>».</w:t>
      </w:r>
    </w:p>
    <w:p w14:paraId="0D000000">
      <w:pPr>
        <w:numPr>
          <w:numId w:val="1"/>
        </w:numPr>
        <w:ind w:firstLine="709" w:left="0"/>
        <w:jc w:val="both"/>
      </w:pPr>
      <w:r>
        <w:t>В настоящее время квалификационная категория составляет:</w:t>
      </w:r>
    </w:p>
    <w:p w14:paraId="0E000000">
      <w:pPr>
        <w:widowControl w:val="0"/>
        <w:spacing w:after="0" w:before="0" w:line="240" w:lineRule="auto"/>
        <w:ind w:firstLine="709" w:left="0"/>
        <w:jc w:val="both"/>
        <w:rPr>
          <w:rFonts w:ascii="Times New Roman" w:hAnsi="Times New Roman"/>
          <w:sz w:val="28"/>
        </w:rPr>
      </w:pPr>
      <w:r>
        <w:rPr>
          <w:rFonts w:ascii="Times New Roman" w:hAnsi="Times New Roman"/>
          <w:sz w:val="28"/>
        </w:rPr>
        <w:t>1) за наличие 2 квалификационной категории - 10 процентов;</w:t>
      </w:r>
    </w:p>
    <w:p w14:paraId="0F000000">
      <w:pPr>
        <w:widowControl w:val="0"/>
        <w:spacing w:after="0" w:before="0" w:line="240" w:lineRule="auto"/>
        <w:ind w:firstLine="709" w:left="0"/>
        <w:jc w:val="both"/>
        <w:rPr>
          <w:rFonts w:ascii="Times New Roman" w:hAnsi="Times New Roman"/>
          <w:sz w:val="28"/>
        </w:rPr>
      </w:pPr>
      <w:r>
        <w:rPr>
          <w:rFonts w:ascii="Times New Roman" w:hAnsi="Times New Roman"/>
          <w:sz w:val="28"/>
        </w:rPr>
        <w:t>2) за наличие 1 квалификационной категории - 20 процентов;</w:t>
      </w:r>
    </w:p>
    <w:p w14:paraId="10000000">
      <w:pPr>
        <w:widowControl w:val="0"/>
        <w:spacing w:after="0" w:before="0" w:line="240" w:lineRule="auto"/>
        <w:ind w:firstLine="709" w:left="0"/>
        <w:jc w:val="both"/>
        <w:rPr>
          <w:rFonts w:ascii="Times New Roman" w:hAnsi="Times New Roman"/>
          <w:sz w:val="28"/>
        </w:rPr>
      </w:pPr>
      <w:r>
        <w:rPr>
          <w:rFonts w:ascii="Times New Roman" w:hAnsi="Times New Roman"/>
          <w:sz w:val="28"/>
        </w:rPr>
        <w:t>3) за наличие высшей квалификационной категории - 30 процентов.</w:t>
      </w:r>
    </w:p>
    <w:p w14:paraId="11000000">
      <w:pPr>
        <w:ind w:firstLine="709" w:left="0"/>
        <w:jc w:val="both"/>
      </w:pPr>
      <w:r>
        <w:t>В отдельных учреждениях у врачей и среднего медицинского персонала высшая категория и начисляется стимулирующая выплата за категорию в размере 30%, а при увеличении должностного оклад надбавка за категорию тоже увеличивается. С целью не допущения увеличения фонда оплаты труда предложено доплату за квалификационную категорию предусмотреть в абсолютном выражении в размере, действующей оплаты труда.</w:t>
      </w:r>
    </w:p>
    <w:p w14:paraId="12000000">
      <w:pPr>
        <w:widowControl w:val="0"/>
        <w:spacing w:after="0" w:before="0" w:line="240" w:lineRule="auto"/>
        <w:ind w:firstLine="709" w:left="0"/>
        <w:jc w:val="both"/>
        <w:rPr>
          <w:rFonts w:ascii="Times New Roman" w:hAnsi="Times New Roman"/>
          <w:sz w:val="28"/>
        </w:rPr>
      </w:pPr>
      <w:r>
        <w:rPr>
          <w:rFonts w:ascii="Times New Roman" w:hAnsi="Times New Roman"/>
          <w:sz w:val="28"/>
        </w:rPr>
        <w:t>Рекомендуемые предельные размеры доплаты за наличие квалификационной категории установлены в приложении 10 к проекту</w:t>
      </w:r>
      <w:r>
        <w:rPr>
          <w:rFonts w:ascii="Times New Roman" w:hAnsi="Times New Roman"/>
          <w:sz w:val="28"/>
        </w:rPr>
        <w:t xml:space="preserve"> положения.</w:t>
      </w:r>
    </w:p>
    <w:p w14:paraId="13000000">
      <w:pPr>
        <w:spacing w:after="0" w:before="0"/>
        <w:ind w:firstLine="540" w:left="0" w:right="0"/>
        <w:jc w:val="both"/>
        <w:rPr>
          <w:rFonts w:ascii="Times New Roman" w:hAnsi="Times New Roman"/>
          <w:sz w:val="28"/>
        </w:rPr>
      </w:pPr>
      <w:r>
        <w:rPr>
          <w:rStyle w:val="Style_1_ch"/>
          <w:rFonts w:ascii="Times New Roman" w:hAnsi="Times New Roman"/>
          <w:sz w:val="28"/>
        </w:rPr>
        <w:t>Д</w:t>
      </w:r>
      <w:r>
        <w:rPr>
          <w:rFonts w:ascii="Times New Roman" w:hAnsi="Times New Roman"/>
          <w:sz w:val="28"/>
        </w:rPr>
        <w:t>оплата за наличие квалификационной категории</w:t>
      </w:r>
      <w:r>
        <w:rPr>
          <w:rStyle w:val="Style_1_ch"/>
          <w:rFonts w:ascii="Times New Roman" w:hAnsi="Times New Roman"/>
          <w:sz w:val="28"/>
        </w:rPr>
        <w:t xml:space="preserve"> </w:t>
      </w:r>
      <w:r>
        <w:rPr>
          <w:rStyle w:val="Style_1_ch"/>
          <w:rFonts w:ascii="Times New Roman" w:hAnsi="Times New Roman"/>
          <w:sz w:val="28"/>
        </w:rPr>
        <w:t xml:space="preserve">начисляется </w:t>
      </w:r>
      <w:r>
        <w:rPr>
          <w:rStyle w:val="Style_1_ch"/>
          <w:rFonts w:ascii="Times New Roman" w:hAnsi="Times New Roman"/>
          <w:sz w:val="28"/>
        </w:rPr>
        <w:t>пропорционально фактически отработанному времени за месяц.</w:t>
      </w:r>
    </w:p>
    <w:p w14:paraId="14000000">
      <w:pPr>
        <w:numPr>
          <w:numId w:val="1"/>
        </w:numPr>
        <w:spacing w:after="0" w:before="0"/>
        <w:ind w:firstLine="709" w:left="0"/>
        <w:jc w:val="both"/>
      </w:pPr>
      <w:r>
        <w:t>Также по надбавке за выслугу лет. По отдельным категориям работников (врачи, средний медицинский персонал и водители скорой медицинской помощи, медицинские работники, осуществляющие медицинскую помощь по участковому принципу) максимальная надбавка за выслугу лет составляет 50% и 40%.</w:t>
      </w:r>
      <w:r>
        <w:t xml:space="preserve"> При увеличении должностного оклад надбавка за выслугу лет тоже увеличивается. С целью не допущения увеличения фонда оплаты труда предложено доплату за выслугу лет предусмотреть в абсолютном выражении в размере, действующей оплаты труда.</w:t>
      </w:r>
    </w:p>
    <w:p w14:paraId="15000000">
      <w:pPr>
        <w:widowControl w:val="0"/>
        <w:spacing w:after="0" w:before="0" w:line="240" w:lineRule="auto"/>
        <w:ind w:firstLine="709" w:left="0"/>
        <w:jc w:val="both"/>
        <w:rPr>
          <w:rFonts w:ascii="Times New Roman" w:hAnsi="Times New Roman"/>
          <w:sz w:val="28"/>
        </w:rPr>
      </w:pPr>
      <w:r>
        <w:rPr>
          <w:rFonts w:ascii="Times New Roman" w:hAnsi="Times New Roman"/>
          <w:sz w:val="28"/>
        </w:rPr>
        <w:t>Рекомендуемые предельные размеры доплаты за выслугу лет установлены в приложении 11, 12 и 13  к проекту</w:t>
      </w:r>
      <w:r>
        <w:rPr>
          <w:rFonts w:ascii="Times New Roman" w:hAnsi="Times New Roman"/>
          <w:sz w:val="28"/>
        </w:rPr>
        <w:t xml:space="preserve"> положения.</w:t>
      </w:r>
    </w:p>
    <w:p w14:paraId="16000000">
      <w:pPr>
        <w:numPr>
          <w:numId w:val="1"/>
        </w:numPr>
        <w:spacing w:after="0" w:before="0"/>
        <w:ind w:firstLine="709" w:left="0"/>
        <w:jc w:val="both"/>
        <w:rPr>
          <w:rFonts w:ascii="Times New Roman" w:hAnsi="Times New Roman"/>
          <w:sz w:val="28"/>
        </w:rPr>
      </w:pPr>
      <w:r>
        <w:t>Ранее предусмотренную повышенную надбавку за выслугу лет по нижеприведенным должностям (до 50% от действующего оклада) исключили и установили в абсолютном выражении, в размере 10% от действующего оклада:</w:t>
      </w:r>
    </w:p>
    <w:p w14:paraId="17000000">
      <w:pPr>
        <w:numPr>
          <w:numId w:val="2"/>
        </w:numPr>
        <w:spacing w:after="0" w:before="0"/>
        <w:ind w:firstLine="567" w:left="0"/>
        <w:jc w:val="both"/>
        <w:rPr>
          <w:rFonts w:ascii="Times New Roman" w:hAnsi="Times New Roman"/>
          <w:sz w:val="28"/>
        </w:rPr>
      </w:pPr>
      <w:r>
        <w:rPr>
          <w:rFonts w:ascii="Times New Roman" w:hAnsi="Times New Roman"/>
          <w:sz w:val="28"/>
        </w:rPr>
        <w:t xml:space="preserve">врачам выездных бригад станций (отделений) скорой медицинской помощи, </w:t>
      </w:r>
      <w:r>
        <w:rPr>
          <w:rFonts w:ascii="Times New Roman" w:hAnsi="Times New Roman"/>
          <w:sz w:val="28"/>
          <w:u w:val="single"/>
        </w:rPr>
        <w:t>перешедшие</w:t>
      </w:r>
      <w:r>
        <w:rPr>
          <w:rFonts w:ascii="Times New Roman" w:hAnsi="Times New Roman"/>
          <w:sz w:val="28"/>
        </w:rPr>
        <w:t xml:space="preserve"> на должности главного врача станции скорой медицинской помощи и его заместителя, заведующих отделениями, подстанциями скорой медицинской помощи;</w:t>
      </w:r>
    </w:p>
    <w:p w14:paraId="18000000">
      <w:pPr>
        <w:widowControl w:val="0"/>
        <w:numPr>
          <w:numId w:val="3"/>
        </w:numPr>
        <w:spacing w:after="0" w:before="0" w:line="240" w:lineRule="auto"/>
        <w:ind w:firstLine="709" w:left="0"/>
        <w:jc w:val="both"/>
        <w:rPr>
          <w:rFonts w:ascii="Times New Roman" w:hAnsi="Times New Roman"/>
          <w:sz w:val="28"/>
        </w:rPr>
      </w:pPr>
      <w:r>
        <w:rPr>
          <w:rFonts w:ascii="Times New Roman" w:hAnsi="Times New Roman"/>
          <w:sz w:val="28"/>
        </w:rPr>
        <w:t xml:space="preserve">работникам из числа среднего медицинского персонала выездных бригад станций (отделений) скорой медицинской помощи, </w:t>
      </w:r>
      <w:r>
        <w:rPr>
          <w:rFonts w:ascii="Times New Roman" w:hAnsi="Times New Roman"/>
          <w:i w:val="0"/>
          <w:sz w:val="28"/>
          <w:u w:val="single"/>
        </w:rPr>
        <w:t>перешедшим</w:t>
      </w:r>
      <w:r>
        <w:rPr>
          <w:rFonts w:ascii="Times New Roman" w:hAnsi="Times New Roman"/>
          <w:sz w:val="28"/>
        </w:rPr>
        <w:t xml:space="preserve"> на должности фельдшера (медицинской сестры) по приему вызовов и передаче их выездным бригадам или старшего фельдшера подстанции скорой медицинской помощи.</w:t>
      </w:r>
    </w:p>
    <w:p w14:paraId="19000000">
      <w:pPr>
        <w:spacing w:after="0" w:before="0"/>
        <w:ind w:firstLine="709" w:left="0"/>
        <w:jc w:val="both"/>
        <w:rPr>
          <w:rFonts w:ascii="Times New Roman" w:hAnsi="Times New Roman"/>
          <w:sz w:val="28"/>
        </w:rPr>
      </w:pPr>
      <w:r>
        <w:rPr>
          <w:rFonts w:ascii="Times New Roman" w:hAnsi="Times New Roman"/>
          <w:sz w:val="28"/>
        </w:rPr>
        <w:t xml:space="preserve">Повышенная доплата за выслугу лет непрерывной работы предусмотрена работникам, непосредственно участвующим в выездных бригадах. </w:t>
      </w:r>
    </w:p>
    <w:p w14:paraId="1A000000">
      <w:pPr>
        <w:spacing w:after="0" w:before="0"/>
        <w:ind/>
        <w:jc w:val="both"/>
      </w:pPr>
    </w:p>
    <w:p w14:paraId="1B000000">
      <w:pPr>
        <w:spacing w:after="0" w:before="0"/>
        <w:ind w:firstLine="709" w:left="0"/>
        <w:jc w:val="both"/>
      </w:pPr>
    </w:p>
    <w:p w14:paraId="1C000000">
      <w:pPr>
        <w:spacing w:after="0" w:before="0"/>
        <w:ind w:firstLine="709" w:left="0"/>
        <w:jc w:val="both"/>
      </w:pPr>
    </w:p>
    <w:p w14:paraId="1D000000">
      <w:pPr>
        <w:spacing w:after="0" w:before="0"/>
        <w:ind w:firstLine="709" w:left="0"/>
        <w:jc w:val="both"/>
      </w:pPr>
    </w:p>
    <w:p w14:paraId="1E000000">
      <w:pPr>
        <w:spacing w:after="0" w:before="0"/>
        <w:ind w:firstLine="709" w:left="0"/>
        <w:jc w:val="both"/>
      </w:pPr>
    </w:p>
    <w:p w14:paraId="1F000000">
      <w:pPr>
        <w:spacing w:after="0" w:before="0"/>
        <w:ind w:firstLine="709" w:left="0"/>
        <w:jc w:val="both"/>
      </w:pPr>
    </w:p>
    <w:p w14:paraId="20000000">
      <w:pPr>
        <w:spacing w:after="0" w:before="0"/>
        <w:ind w:firstLine="709" w:left="0"/>
        <w:jc w:val="both"/>
      </w:pPr>
    </w:p>
    <w:p w14:paraId="21000000">
      <w:pPr>
        <w:widowControl w:val="0"/>
        <w:ind/>
        <w:jc w:val="both"/>
        <w:outlineLvl w:val="1"/>
      </w:pPr>
    </w:p>
    <w:p w14:paraId="22000000">
      <w:pPr>
        <w:widowControl w:val="0"/>
        <w:ind/>
        <w:jc w:val="both"/>
        <w:outlineLvl w:val="1"/>
      </w:pPr>
    </w:p>
    <w:p w14:paraId="23000000">
      <w:pPr>
        <w:widowControl w:val="0"/>
        <w:ind/>
        <w:jc w:val="both"/>
        <w:outlineLvl w:val="1"/>
      </w:pPr>
    </w:p>
    <w:p w14:paraId="24000000">
      <w:pPr>
        <w:widowControl w:val="0"/>
        <w:ind/>
        <w:jc w:val="both"/>
        <w:outlineLvl w:val="1"/>
      </w:pPr>
    </w:p>
    <w:p w14:paraId="25000000">
      <w:pPr>
        <w:widowControl w:val="0"/>
        <w:ind/>
        <w:jc w:val="both"/>
        <w:outlineLvl w:val="1"/>
      </w:pPr>
    </w:p>
    <w:p w14:paraId="26000000">
      <w:pPr>
        <w:widowControl w:val="0"/>
        <w:ind w:firstLine="0" w:left="5670"/>
        <w:jc w:val="both"/>
        <w:outlineLvl w:val="1"/>
      </w:pPr>
    </w:p>
    <w:sectPr>
      <w:pgSz w:h="16840" w:orient="portrait" w:w="11907"/>
      <w:pgMar w:bottom="1134" w:footer="720" w:gutter="0" w:header="720" w:left="1134"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1">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2">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rPr>
      <w:sz w:val="28"/>
    </w:rPr>
  </w:style>
  <w:style w:default="1" w:styleId="Style_1_ch" w:type="character">
    <w:name w:val="Normal"/>
    <w:link w:val="Style_1"/>
    <w:rPr>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heading 3"/>
    <w:next w:val="Style_1"/>
    <w:link w:val="Style_6_ch"/>
    <w:uiPriority w:val="9"/>
    <w:qFormat/>
    <w:pPr>
      <w:spacing w:after="120" w:before="120"/>
      <w:ind/>
      <w:jc w:val="both"/>
      <w:outlineLvl w:val="2"/>
    </w:pPr>
    <w:rPr>
      <w:rFonts w:ascii="XO Thames" w:hAnsi="XO Thames"/>
      <w:b w:val="1"/>
      <w:sz w:val="26"/>
    </w:rPr>
  </w:style>
  <w:style w:styleId="Style_6_ch" w:type="character">
    <w:name w:val="heading 3"/>
    <w:link w:val="Style_6"/>
    <w:rPr>
      <w:rFonts w:ascii="XO Thames" w:hAnsi="XO Thames"/>
      <w:b w:val="1"/>
      <w:sz w:val="26"/>
    </w:rPr>
  </w:style>
  <w:style w:styleId="Style_7" w:type="paragraph">
    <w:name w:val="ConsPlusTitle"/>
    <w:link w:val="Style_7_ch"/>
    <w:pPr>
      <w:widowControl w:val="0"/>
      <w:ind/>
    </w:pPr>
    <w:rPr>
      <w:rFonts w:ascii="Arial" w:hAnsi="Arial"/>
      <w:b w:val="1"/>
    </w:rPr>
  </w:style>
  <w:style w:styleId="Style_7_ch" w:type="character">
    <w:name w:val="ConsPlusTitle"/>
    <w:link w:val="Style_7"/>
    <w:rPr>
      <w:rFonts w:ascii="Arial" w:hAnsi="Arial"/>
      <w:b w:val="1"/>
    </w:rPr>
  </w:style>
  <w:style w:styleId="Style_8" w:type="paragraph">
    <w:name w:val="Текст (прав. подпись)"/>
    <w:basedOn w:val="Style_1"/>
    <w:next w:val="Style_1"/>
    <w:link w:val="Style_8_ch"/>
    <w:pPr>
      <w:widowControl w:val="0"/>
      <w:ind/>
      <w:jc w:val="right"/>
    </w:pPr>
    <w:rPr>
      <w:rFonts w:ascii="Arial" w:hAnsi="Arial"/>
      <w:sz w:val="20"/>
    </w:rPr>
  </w:style>
  <w:style w:styleId="Style_8_ch" w:type="character">
    <w:name w:val="Текст (прав. подпись)"/>
    <w:basedOn w:val="Style_1_ch"/>
    <w:link w:val="Style_8"/>
    <w:rPr>
      <w:rFonts w:ascii="Arial" w:hAnsi="Arial"/>
      <w:sz w:val="20"/>
    </w:rPr>
  </w:style>
  <w:style w:styleId="Style_9" w:type="paragraph">
    <w:name w:val="ConsPlusNormal"/>
    <w:link w:val="Style_9_ch"/>
    <w:pPr>
      <w:widowControl w:val="0"/>
      <w:ind w:firstLine="720" w:left="0"/>
    </w:pPr>
    <w:rPr>
      <w:rFonts w:ascii="Arial" w:hAnsi="Arial"/>
    </w:rPr>
  </w:style>
  <w:style w:styleId="Style_9_ch" w:type="character">
    <w:name w:val="ConsPlusNormal"/>
    <w:link w:val="Style_9"/>
    <w:rPr>
      <w:rFonts w:ascii="Arial" w:hAnsi="Arial"/>
    </w:rPr>
  </w:style>
  <w:style w:styleId="Style_10" w:type="paragraph">
    <w:name w:val="toc 3"/>
    <w:next w:val="Style_1"/>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ConsNormal"/>
    <w:link w:val="Style_11_ch"/>
    <w:pPr>
      <w:widowControl w:val="0"/>
      <w:ind w:firstLine="720" w:left="0"/>
    </w:pPr>
    <w:rPr>
      <w:rFonts w:ascii="Arial" w:hAnsi="Arial"/>
    </w:rPr>
  </w:style>
  <w:style w:styleId="Style_11_ch" w:type="character">
    <w:name w:val="ConsNormal"/>
    <w:link w:val="Style_11"/>
    <w:rPr>
      <w:rFonts w:ascii="Arial" w:hAnsi="Arial"/>
    </w:rPr>
  </w:style>
  <w:style w:styleId="Style_12" w:type="paragraph">
    <w:name w:val="Balloon Text"/>
    <w:basedOn w:val="Style_1"/>
    <w:link w:val="Style_12_ch"/>
    <w:rPr>
      <w:rFonts w:ascii="Tahoma" w:hAnsi="Tahoma"/>
      <w:sz w:val="16"/>
    </w:rPr>
  </w:style>
  <w:style w:styleId="Style_12_ch" w:type="character">
    <w:name w:val="Balloon Text"/>
    <w:basedOn w:val="Style_1_ch"/>
    <w:link w:val="Style_12"/>
    <w:rPr>
      <w:rFonts w:ascii="Tahoma" w:hAnsi="Tahoma"/>
      <w:sz w:val="16"/>
    </w:rPr>
  </w:style>
  <w:style w:styleId="Style_13" w:type="paragraph">
    <w:name w:val="Знак Знак Знак Знак Знак Знак Знак Знак Знак Знак Знак Знак Знак Знак Знак Знак Знак Знак Знак Знак Знак1 Знак"/>
    <w:basedOn w:val="Style_1"/>
    <w:link w:val="Style_13_ch"/>
    <w:pPr>
      <w:spacing w:afterAutospacing="on" w:beforeAutospacing="on"/>
      <w:ind/>
    </w:pPr>
    <w:rPr>
      <w:rFonts w:ascii="Tahoma" w:hAnsi="Tahoma"/>
      <w:sz w:val="20"/>
    </w:rPr>
  </w:style>
  <w:style w:styleId="Style_13_ch" w:type="character">
    <w:name w:val="Знак Знак Знак Знак Знак Знак Знак Знак Знак Знак Знак Знак Знак Знак Знак Знак Знак Знак Знак Знак Знак1 Знак"/>
    <w:basedOn w:val="Style_1_ch"/>
    <w:link w:val="Style_13"/>
    <w:rPr>
      <w:rFonts w:ascii="Tahoma" w:hAnsi="Tahoma"/>
      <w:sz w:val="20"/>
    </w:rPr>
  </w:style>
  <w:style w:styleId="Style_14" w:type="paragraph">
    <w:name w:val="heading 5"/>
    <w:next w:val="Style_1"/>
    <w:link w:val="Style_14_ch"/>
    <w:uiPriority w:val="9"/>
    <w:qFormat/>
    <w:pPr>
      <w:spacing w:after="120" w:before="120"/>
      <w:ind/>
      <w:jc w:val="both"/>
      <w:outlineLvl w:val="4"/>
    </w:pPr>
    <w:rPr>
      <w:rFonts w:ascii="XO Thames" w:hAnsi="XO Thames"/>
      <w:b w:val="1"/>
      <w:sz w:val="22"/>
    </w:rPr>
  </w:style>
  <w:style w:styleId="Style_14_ch" w:type="character">
    <w:name w:val="heading 5"/>
    <w:link w:val="Style_14"/>
    <w:rPr>
      <w:rFonts w:ascii="XO Thames" w:hAnsi="XO Thames"/>
      <w:b w:val="1"/>
      <w:sz w:val="22"/>
    </w:rPr>
  </w:style>
  <w:style w:styleId="Style_15" w:type="paragraph">
    <w:name w:val="heading 1"/>
    <w:basedOn w:val="Style_1"/>
    <w:next w:val="Style_1"/>
    <w:link w:val="Style_15_ch"/>
    <w:uiPriority w:val="9"/>
    <w:qFormat/>
    <w:pPr>
      <w:widowControl w:val="0"/>
      <w:spacing w:after="108" w:before="108"/>
      <w:ind/>
      <w:jc w:val="center"/>
      <w:outlineLvl w:val="0"/>
    </w:pPr>
    <w:rPr>
      <w:rFonts w:ascii="Arial" w:hAnsi="Arial"/>
      <w:b w:val="1"/>
      <w:color w:val="000080"/>
      <w:sz w:val="20"/>
    </w:rPr>
  </w:style>
  <w:style w:styleId="Style_15_ch" w:type="character">
    <w:name w:val="heading 1"/>
    <w:basedOn w:val="Style_1_ch"/>
    <w:link w:val="Style_15"/>
    <w:rPr>
      <w:rFonts w:ascii="Arial" w:hAnsi="Arial"/>
      <w:b w:val="1"/>
      <w:color w:val="000080"/>
      <w:sz w:val="20"/>
    </w:rPr>
  </w:style>
  <w:style w:styleId="Style_16" w:type="paragraph">
    <w:name w:val="Default Paragraph Font"/>
    <w:link w:val="Style_16_ch"/>
  </w:style>
  <w:style w:styleId="Style_16_ch" w:type="character">
    <w:name w:val="Default Paragraph Font"/>
    <w:link w:val="Style_16"/>
  </w:style>
  <w:style w:styleId="Style_17" w:type="paragraph">
    <w:name w:val="Hyperlink"/>
    <w:link w:val="Style_17_ch"/>
    <w:rPr>
      <w:color w:val="0000FF"/>
      <w:u w:val="single"/>
    </w:rPr>
  </w:style>
  <w:style w:styleId="Style_17_ch" w:type="character">
    <w:name w:val="Hyperlink"/>
    <w:link w:val="Style_17"/>
    <w:rPr>
      <w:color w:val="0000FF"/>
      <w:u w:val="single"/>
    </w:rPr>
  </w:style>
  <w:style w:styleId="Style_18" w:type="paragraph">
    <w:name w:val="Footnote"/>
    <w:link w:val="Style_18_ch"/>
    <w:pPr>
      <w:ind w:firstLine="851" w:left="0"/>
      <w:jc w:val="both"/>
    </w:pPr>
    <w:rPr>
      <w:rFonts w:ascii="XO Thames" w:hAnsi="XO Thames"/>
      <w:sz w:val="22"/>
    </w:rPr>
  </w:style>
  <w:style w:styleId="Style_18_ch" w:type="character">
    <w:name w:val="Footnote"/>
    <w:link w:val="Style_18"/>
    <w:rPr>
      <w:rFonts w:ascii="XO Thames" w:hAnsi="XO Thames"/>
      <w:sz w:val="22"/>
    </w:rPr>
  </w:style>
  <w:style w:styleId="Style_19" w:type="paragraph">
    <w:name w:val="header"/>
    <w:basedOn w:val="Style_1"/>
    <w:link w:val="Style_19_ch"/>
    <w:pPr>
      <w:tabs>
        <w:tab w:leader="none" w:pos="4536" w:val="center"/>
        <w:tab w:leader="none" w:pos="9072" w:val="right"/>
      </w:tabs>
      <w:ind/>
    </w:pPr>
  </w:style>
  <w:style w:styleId="Style_19_ch" w:type="character">
    <w:name w:val="header"/>
    <w:basedOn w:val="Style_1_ch"/>
    <w:link w:val="Style_19"/>
  </w:style>
  <w:style w:styleId="Style_20" w:type="paragraph">
    <w:name w:val="toc 1"/>
    <w:next w:val="Style_1"/>
    <w:link w:val="Style_20_ch"/>
    <w:uiPriority w:val="39"/>
    <w:pPr>
      <w:ind w:firstLine="0" w:left="0"/>
      <w:jc w:val="left"/>
    </w:pPr>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Header and Footer"/>
    <w:link w:val="Style_21_ch"/>
    <w:pPr>
      <w:spacing w:line="240" w:lineRule="auto"/>
      <w:ind/>
      <w:jc w:val="both"/>
    </w:pPr>
    <w:rPr>
      <w:rFonts w:ascii="XO Thames" w:hAnsi="XO Thames"/>
      <w:sz w:val="20"/>
    </w:rPr>
  </w:style>
  <w:style w:styleId="Style_21_ch" w:type="character">
    <w:name w:val="Header and Footer"/>
    <w:link w:val="Style_21"/>
    <w:rPr>
      <w:rFonts w:ascii="XO Thames" w:hAnsi="XO Thames"/>
      <w:sz w:val="20"/>
    </w:rPr>
  </w:style>
  <w:style w:styleId="Style_22" w:type="paragraph">
    <w:name w:val="toc 9"/>
    <w:next w:val="Style_1"/>
    <w:link w:val="Style_22_ch"/>
    <w:uiPriority w:val="39"/>
    <w:pPr>
      <w:ind w:firstLine="0" w:left="1600"/>
      <w:jc w:val="left"/>
    </w:pPr>
    <w:rPr>
      <w:rFonts w:ascii="XO Thames" w:hAnsi="XO Thames"/>
      <w:sz w:val="28"/>
    </w:rPr>
  </w:style>
  <w:style w:styleId="Style_22_ch" w:type="character">
    <w:name w:val="toc 9"/>
    <w:link w:val="Style_22"/>
    <w:rPr>
      <w:rFonts w:ascii="XO Thames" w:hAnsi="XO Thames"/>
      <w:sz w:val="28"/>
    </w:rPr>
  </w:style>
  <w:style w:styleId="Style_23" w:type="paragraph">
    <w:name w:val="footer"/>
    <w:basedOn w:val="Style_1"/>
    <w:link w:val="Style_23_ch"/>
    <w:pPr>
      <w:tabs>
        <w:tab w:leader="none" w:pos="4677" w:val="center"/>
        <w:tab w:leader="none" w:pos="9355" w:val="right"/>
      </w:tabs>
      <w:ind/>
    </w:pPr>
  </w:style>
  <w:style w:styleId="Style_23_ch" w:type="character">
    <w:name w:val="footer"/>
    <w:basedOn w:val="Style_1_ch"/>
    <w:link w:val="Style_23"/>
  </w:style>
  <w:style w:styleId="Style_24" w:type="paragraph">
    <w:name w:val="toc 8"/>
    <w:next w:val="Style_1"/>
    <w:link w:val="Style_24_ch"/>
    <w:uiPriority w:val="39"/>
    <w:pPr>
      <w:ind w:firstLine="0" w:left="1400"/>
      <w:jc w:val="left"/>
    </w:pPr>
    <w:rPr>
      <w:rFonts w:ascii="XO Thames" w:hAnsi="XO Thames"/>
      <w:sz w:val="28"/>
    </w:rPr>
  </w:style>
  <w:style w:styleId="Style_24_ch" w:type="character">
    <w:name w:val="toc 8"/>
    <w:link w:val="Style_24"/>
    <w:rPr>
      <w:rFonts w:ascii="XO Thames" w:hAnsi="XO Thames"/>
      <w:sz w:val="28"/>
    </w:rPr>
  </w:style>
  <w:style w:styleId="Style_25" w:type="paragraph">
    <w:name w:val="List Paragraph"/>
    <w:basedOn w:val="Style_1"/>
    <w:link w:val="Style_25_ch"/>
    <w:pPr>
      <w:spacing w:after="200" w:line="276" w:lineRule="auto"/>
      <w:ind w:firstLine="0" w:left="720"/>
      <w:contextualSpacing w:val="1"/>
    </w:pPr>
    <w:rPr>
      <w:rFonts w:ascii="Calibri" w:hAnsi="Calibri"/>
      <w:sz w:val="22"/>
    </w:rPr>
  </w:style>
  <w:style w:styleId="Style_25_ch" w:type="character">
    <w:name w:val="List Paragraph"/>
    <w:basedOn w:val="Style_1_ch"/>
    <w:link w:val="Style_25"/>
    <w:rPr>
      <w:rFonts w:ascii="Calibri" w:hAnsi="Calibri"/>
      <w:sz w:val="22"/>
    </w:rPr>
  </w:style>
  <w:style w:styleId="Style_26" w:type="paragraph">
    <w:name w:val="Текст (лев. подпись)"/>
    <w:basedOn w:val="Style_1"/>
    <w:next w:val="Style_1"/>
    <w:link w:val="Style_26_ch"/>
    <w:pPr>
      <w:widowControl w:val="0"/>
      <w:ind/>
    </w:pPr>
    <w:rPr>
      <w:rFonts w:ascii="Arial" w:hAnsi="Arial"/>
      <w:sz w:val="20"/>
    </w:rPr>
  </w:style>
  <w:style w:styleId="Style_26_ch" w:type="character">
    <w:name w:val="Текст (лев. подпись)"/>
    <w:basedOn w:val="Style_1_ch"/>
    <w:link w:val="Style_26"/>
    <w:rPr>
      <w:rFonts w:ascii="Arial" w:hAnsi="Arial"/>
      <w:sz w:val="20"/>
    </w:rPr>
  </w:style>
  <w:style w:styleId="Style_27" w:type="paragraph">
    <w:name w:val="toc 5"/>
    <w:next w:val="Style_1"/>
    <w:link w:val="Style_27_ch"/>
    <w:uiPriority w:val="39"/>
    <w:pPr>
      <w:ind w:firstLine="0" w:left="800"/>
      <w:jc w:val="left"/>
    </w:pPr>
    <w:rPr>
      <w:rFonts w:ascii="XO Thames" w:hAnsi="XO Thames"/>
      <w:sz w:val="28"/>
    </w:rPr>
  </w:style>
  <w:style w:styleId="Style_27_ch" w:type="character">
    <w:name w:val="toc 5"/>
    <w:link w:val="Style_27"/>
    <w:rPr>
      <w:rFonts w:ascii="XO Thames" w:hAnsi="XO Thames"/>
      <w:sz w:val="28"/>
    </w:rPr>
  </w:style>
  <w:style w:styleId="Style_28" w:type="paragraph">
    <w:name w:val="Комментарий"/>
    <w:basedOn w:val="Style_1"/>
    <w:next w:val="Style_1"/>
    <w:link w:val="Style_28_ch"/>
    <w:pPr>
      <w:widowControl w:val="0"/>
      <w:ind w:firstLine="0" w:left="170"/>
      <w:jc w:val="both"/>
    </w:pPr>
    <w:rPr>
      <w:rFonts w:ascii="Arial" w:hAnsi="Arial"/>
      <w:i w:val="1"/>
      <w:color w:val="800080"/>
      <w:sz w:val="20"/>
    </w:rPr>
  </w:style>
  <w:style w:styleId="Style_28_ch" w:type="character">
    <w:name w:val="Комментарий"/>
    <w:basedOn w:val="Style_1_ch"/>
    <w:link w:val="Style_28"/>
    <w:rPr>
      <w:rFonts w:ascii="Arial" w:hAnsi="Arial"/>
      <w:i w:val="1"/>
      <w:color w:val="800080"/>
      <w:sz w:val="20"/>
    </w:rPr>
  </w:style>
  <w:style w:styleId="Style_29" w:type="paragraph">
    <w:name w:val="Body Text 2"/>
    <w:basedOn w:val="Style_1"/>
    <w:link w:val="Style_29_ch"/>
    <w:pPr>
      <w:spacing w:after="120" w:line="480" w:lineRule="auto"/>
      <w:ind/>
    </w:pPr>
  </w:style>
  <w:style w:styleId="Style_29_ch" w:type="character">
    <w:name w:val="Body Text 2"/>
    <w:basedOn w:val="Style_1_ch"/>
    <w:link w:val="Style_29"/>
  </w:style>
  <w:style w:styleId="Style_30" w:type="paragraph">
    <w:name w:val="Subtitle"/>
    <w:next w:val="Style_1"/>
    <w:link w:val="Style_30_ch"/>
    <w:uiPriority w:val="11"/>
    <w:qFormat/>
    <w:pPr>
      <w:ind/>
      <w:jc w:val="both"/>
    </w:pPr>
    <w:rPr>
      <w:rFonts w:ascii="XO Thames" w:hAnsi="XO Thames"/>
      <w:i w:val="1"/>
      <w:sz w:val="24"/>
    </w:rPr>
  </w:style>
  <w:style w:styleId="Style_30_ch" w:type="character">
    <w:name w:val="Subtitle"/>
    <w:link w:val="Style_30"/>
    <w:rPr>
      <w:rFonts w:ascii="XO Thames" w:hAnsi="XO Thames"/>
      <w:i w:val="1"/>
      <w:sz w:val="24"/>
    </w:rPr>
  </w:style>
  <w:style w:styleId="Style_31" w:type="paragraph">
    <w:name w:val="ConsPlusNonformat"/>
    <w:link w:val="Style_31_ch"/>
    <w:pPr>
      <w:widowControl w:val="0"/>
      <w:ind/>
    </w:pPr>
    <w:rPr>
      <w:rFonts w:ascii="Courier New" w:hAnsi="Courier New"/>
    </w:rPr>
  </w:style>
  <w:style w:styleId="Style_31_ch" w:type="character">
    <w:name w:val="ConsPlusNonformat"/>
    <w:link w:val="Style_31"/>
    <w:rPr>
      <w:rFonts w:ascii="Courier New" w:hAnsi="Courier New"/>
    </w:rPr>
  </w:style>
  <w:style w:styleId="Style_32" w:type="paragraph">
    <w:name w:val="page number"/>
    <w:basedOn w:val="Style_16"/>
    <w:link w:val="Style_32_ch"/>
  </w:style>
  <w:style w:styleId="Style_32_ch" w:type="character">
    <w:name w:val="page number"/>
    <w:basedOn w:val="Style_16_ch"/>
    <w:link w:val="Style_32"/>
  </w:style>
  <w:style w:styleId="Style_33" w:type="paragraph">
    <w:name w:val="Title"/>
    <w:next w:val="Style_1"/>
    <w:link w:val="Style_33_ch"/>
    <w:uiPriority w:val="10"/>
    <w:qFormat/>
    <w:pPr>
      <w:spacing w:after="567" w:before="567"/>
      <w:ind/>
      <w:jc w:val="center"/>
    </w:pPr>
    <w:rPr>
      <w:rFonts w:ascii="XO Thames" w:hAnsi="XO Thames"/>
      <w:b w:val="1"/>
      <w:caps w:val="1"/>
      <w:sz w:val="40"/>
    </w:rPr>
  </w:style>
  <w:style w:styleId="Style_33_ch" w:type="character">
    <w:name w:val="Title"/>
    <w:link w:val="Style_33"/>
    <w:rPr>
      <w:rFonts w:ascii="XO Thames" w:hAnsi="XO Thames"/>
      <w:b w:val="1"/>
      <w:caps w:val="1"/>
      <w:sz w:val="40"/>
    </w:rPr>
  </w:style>
  <w:style w:styleId="Style_34" w:type="paragraph">
    <w:name w:val="heading 4"/>
    <w:next w:val="Style_1"/>
    <w:link w:val="Style_34_ch"/>
    <w:uiPriority w:val="9"/>
    <w:qFormat/>
    <w:pPr>
      <w:spacing w:after="120" w:before="120"/>
      <w:ind/>
      <w:jc w:val="both"/>
      <w:outlineLvl w:val="3"/>
    </w:pPr>
    <w:rPr>
      <w:rFonts w:ascii="XO Thames" w:hAnsi="XO Thames"/>
      <w:b w:val="1"/>
      <w:sz w:val="24"/>
    </w:rPr>
  </w:style>
  <w:style w:styleId="Style_34_ch" w:type="character">
    <w:name w:val="heading 4"/>
    <w:link w:val="Style_34"/>
    <w:rPr>
      <w:rFonts w:ascii="XO Thames" w:hAnsi="XO Thames"/>
      <w:b w:val="1"/>
      <w:sz w:val="24"/>
    </w:rPr>
  </w:style>
  <w:style w:styleId="Style_35" w:type="paragraph">
    <w:name w:val="heading 2"/>
    <w:next w:val="Style_1"/>
    <w:link w:val="Style_35_ch"/>
    <w:uiPriority w:val="9"/>
    <w:qFormat/>
    <w:pPr>
      <w:spacing w:after="120" w:before="120"/>
      <w:ind/>
      <w:jc w:val="both"/>
      <w:outlineLvl w:val="1"/>
    </w:pPr>
    <w:rPr>
      <w:rFonts w:ascii="XO Thames" w:hAnsi="XO Thames"/>
      <w:b w:val="1"/>
      <w:sz w:val="28"/>
    </w:rPr>
  </w:style>
  <w:style w:styleId="Style_35_ch" w:type="character">
    <w:name w:val="heading 2"/>
    <w:link w:val="Style_35"/>
    <w:rPr>
      <w:rFonts w:ascii="XO Thames" w:hAnsi="XO Thames"/>
      <w:b w:val="1"/>
      <w:sz w:val="28"/>
    </w:rPr>
  </w:style>
  <w:style w:styleId="Style_36" w:type="paragraph">
    <w:name w:val="Body Text Indent"/>
    <w:basedOn w:val="Style_1"/>
    <w:link w:val="Style_36_ch"/>
    <w:pPr>
      <w:ind w:firstLine="480" w:left="0"/>
      <w:jc w:val="both"/>
    </w:pPr>
  </w:style>
  <w:style w:styleId="Style_36_ch" w:type="character">
    <w:name w:val="Body Text Indent"/>
    <w:basedOn w:val="Style_1_ch"/>
    <w:link w:val="Style_36"/>
  </w:style>
  <w:style w:styleId="Style_37" w:type="table">
    <w:name w:val="Table Contemporary"/>
    <w:basedOn w:val="Style_38"/>
    <w:tblPr>
      <w:tblBorders>
        <w:insideH w:color="FFFFFF" w:sz="18" w:val="single"/>
        <w:insideV w:color="FFFFFF" w:sz="18" w:val="single"/>
      </w:tblBorders>
    </w:tblPr>
  </w:style>
  <w:style w:styleId="Style_39" w:type="table">
    <w:name w:val="Table Grid"/>
    <w:basedOn w:val="Style_38"/>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2024-06-20T06:37:25Z</dcterms:modified>
</cp:coreProperties>
</file>