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6F5B" w:rsidRDefault="0022617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5E6F5B" w:rsidRDefault="005E6F5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E6F5B" w:rsidRDefault="005E6F5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E6F5B" w:rsidRDefault="005E6F5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E6F5B" w:rsidRDefault="0022617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МИНИСТЕРСТВО ЗДРАВООХРАНЕНИЯ </w:t>
      </w:r>
    </w:p>
    <w:p w:rsidR="005E6F5B" w:rsidRDefault="0022617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КАМЧАТСКОГО КРАЯ</w:t>
      </w:r>
    </w:p>
    <w:p w:rsidR="005E6F5B" w:rsidRDefault="005E6F5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E6F5B" w:rsidRDefault="00226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E6F5B" w:rsidRDefault="005E6F5B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5E6F5B" w:rsidRDefault="005E6F5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E6F5B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top w:w="0" w:type="auto"/>
              <w:left w:w="0" w:type="dxa"/>
              <w:bottom w:w="0" w:type="auto"/>
              <w:right w:w="0" w:type="dxa"/>
            </w:tcMar>
          </w:tcPr>
          <w:p w:rsidR="005E6F5B" w:rsidRDefault="0022617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5E6F5B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auto"/>
              <w:left w:w="0" w:type="dxa"/>
              <w:bottom w:w="0" w:type="auto"/>
              <w:right w:w="0" w:type="dxa"/>
            </w:tcMar>
          </w:tcPr>
          <w:p w:rsidR="005E6F5B" w:rsidRDefault="0022617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E6F5B">
        <w:trPr>
          <w:trHeight w:val="80"/>
        </w:trPr>
        <w:tc>
          <w:tcPr>
            <w:tcW w:w="4253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E6F5B" w:rsidRDefault="005E6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E6F5B" w:rsidRDefault="005E6F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d"/>
        <w:tblW w:w="9781" w:type="dxa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E6F5B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6F5B" w:rsidRDefault="002261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приказ</w:t>
            </w:r>
            <w:r>
              <w:rPr>
                <w:rFonts w:ascii="Times New Roman" w:hAnsi="Times New Roman"/>
                <w:b/>
                <w:sz w:val="28"/>
              </w:rPr>
              <w:t xml:space="preserve"> Министерства здравоохранения Камчатского края от 11.11.2019 №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</w:t>
            </w:r>
            <w:r>
              <w:rPr>
                <w:rFonts w:ascii="Times New Roman" w:hAnsi="Times New Roman"/>
                <w:b/>
                <w:sz w:val="28"/>
              </w:rPr>
              <w:t>ия специализированной, в том числе высокотехнологичной, медицинской помощи и медицинской реабилитации»</w:t>
            </w:r>
          </w:p>
        </w:tc>
      </w:tr>
    </w:tbl>
    <w:p w:rsidR="005E6F5B" w:rsidRDefault="005E6F5B">
      <w:pPr>
        <w:spacing w:after="0" w:line="276" w:lineRule="auto"/>
        <w:ind w:firstLine="709"/>
        <w:contextualSpacing/>
        <w:rPr>
          <w:rFonts w:ascii="Times New Roman" w:hAnsi="Times New Roman"/>
          <w:sz w:val="28"/>
        </w:rPr>
      </w:pPr>
    </w:p>
    <w:p w:rsidR="005E6F5B" w:rsidRDefault="005E6F5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5E6F5B" w:rsidRDefault="005E6F5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E6F5B" w:rsidRDefault="00226174">
      <w:pPr>
        <w:pStyle w:val="a7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</w:t>
      </w:r>
      <w:r>
        <w:rPr>
          <w:rFonts w:ascii="Times New Roman" w:hAnsi="Times New Roman"/>
          <w:sz w:val="28"/>
          <w:szCs w:val="28"/>
        </w:rPr>
        <w:t>риказ Министерства здравоохранения Камчатского края от 11.11.2019 № 606 «Об утверждении Положения о порядке</w:t>
      </w:r>
      <w:r>
        <w:rPr>
          <w:rFonts w:ascii="Times New Roman" w:hAnsi="Times New Roman"/>
          <w:sz w:val="28"/>
          <w:szCs w:val="28"/>
        </w:rPr>
        <w:t xml:space="preserve">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приложении 1: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первом части 2.2 слова «не позднее 60 календарных дней после дня возвращения гражданина на территорию Камчатского края из медицинской организации» заменить словами «в течение 90 календарных дней после дн</w:t>
      </w:r>
      <w:r>
        <w:rPr>
          <w:rFonts w:ascii="Times New Roman" w:hAnsi="Times New Roman"/>
          <w:sz w:val="28"/>
        </w:rPr>
        <w:t>я окончания лечения в медицинской организации»;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первом части 3.6 слова «не позднее 60 календарных дней после дня возвращения гражданина на территорию Камчатского края из медицинской организации» заменить словами «в течение 90 календарных дней п</w:t>
      </w:r>
      <w:r>
        <w:rPr>
          <w:rFonts w:ascii="Times New Roman" w:hAnsi="Times New Roman"/>
          <w:sz w:val="28"/>
        </w:rPr>
        <w:t>осле дня окончания лечения в медицинской организации»;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 в абзаце первом части 3.9 слова «не позднее 60 календарных дней после дня возвращения гражданина на территорию Камчатского края из медицинской организации» заменить словами «в течение 90 календарных</w:t>
      </w:r>
      <w:r>
        <w:rPr>
          <w:rFonts w:ascii="Times New Roman" w:hAnsi="Times New Roman"/>
          <w:sz w:val="28"/>
        </w:rPr>
        <w:t xml:space="preserve"> дней после дня окончания лечения в медицинской организации»;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части 3.10: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слова «и возвратиться на территорию Камчатского края из медицинской организации, в которую они направлялись, не позднее 14 календарных дней со дня, следующего за</w:t>
      </w:r>
      <w:r>
        <w:rPr>
          <w:rFonts w:ascii="Times New Roman" w:hAnsi="Times New Roman"/>
          <w:sz w:val="28"/>
        </w:rPr>
        <w:t xml:space="preserve"> днем окончания лечения» исключить;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 слова «и/или обратно» исключить;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третий изложить в следующей редакции: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«Ранний выезд гражданина с территории Камчатского края возможен только по уважительной причине (отсутствие билетов на требуемую</w:t>
      </w:r>
      <w:r>
        <w:rPr>
          <w:rFonts w:ascii="Times New Roman" w:hAnsi="Times New Roman"/>
          <w:sz w:val="28"/>
        </w:rPr>
        <w:t xml:space="preserve"> дату) с предоставлением документов, подтверждающих наличие уважительной причины.»;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 2: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пункты 6 и 7 части 1.2 изложить в следующей редакции: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 граждане – физические лица, имеющие гражданство Российской Федерации, направляемые на лечение в установленном порядке в медицинские организации по жизненным показаниям в экстренном порядке, а также дети-сироты и дети, оставшиеся без попечения родителей</w:t>
      </w:r>
      <w:r>
        <w:rPr>
          <w:rFonts w:ascii="Times New Roman" w:hAnsi="Times New Roman"/>
          <w:sz w:val="28"/>
        </w:rPr>
        <w:t>, не имеющие гражданство Российской Федерации, направляемые на лечение в установленном порядке в медицинские организации по жизненным показаниям в экстренном порядке;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сопровождающее лицо: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физическое лицо, имеющее гражданство Российской Федерации, соп</w:t>
      </w:r>
      <w:r>
        <w:rPr>
          <w:rFonts w:ascii="Times New Roman" w:hAnsi="Times New Roman"/>
          <w:sz w:val="28"/>
        </w:rPr>
        <w:t>ровождающее несовершеннолетнего гражданина, не достигшего возраста 18 лет, имеющего гражданство Российской Федерации, направленного на лечение в установленном порядке в медицинскую организацию, к месту лечения и обратно и являющееся одним из родителей, ины</w:t>
      </w:r>
      <w:r>
        <w:rPr>
          <w:rFonts w:ascii="Times New Roman" w:hAnsi="Times New Roman"/>
          <w:sz w:val="28"/>
        </w:rPr>
        <w:t>м законным представителем или иным лицом, уполномоченным представлять интересы несовершеннолетнего гражданина;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физическое лицо, имеющее гражданство Российской Федерации, сопровождающее инвалида 1 группы, имеющего гражданство Российской Федерации, направл</w:t>
      </w:r>
      <w:r>
        <w:rPr>
          <w:rFonts w:ascii="Times New Roman" w:hAnsi="Times New Roman"/>
          <w:sz w:val="28"/>
        </w:rPr>
        <w:t>енного на лечение в установленном порядке в медицинскую организацию, не подведомственную федеральным органам исполнительной власти, к месту лечения и обратно;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работник организации для детей-сирот и детей, оставшихся без попечения родителей;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работник об</w:t>
      </w:r>
      <w:r>
        <w:rPr>
          <w:rFonts w:ascii="Times New Roman" w:hAnsi="Times New Roman"/>
          <w:sz w:val="28"/>
        </w:rPr>
        <w:t>разовательной организации, медицинской организации или организации, оказывающей социальные услуги, если недееспособное лицо временно пребывает или помещено под надзор в такую организацию»;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5 части 3.1 слова «несовершеннолетних граждан, не дости</w:t>
      </w:r>
      <w:r>
        <w:rPr>
          <w:rFonts w:ascii="Times New Roman" w:hAnsi="Times New Roman"/>
          <w:sz w:val="28"/>
        </w:rPr>
        <w:t>гших возраста 18 лет и инвалидов 1 группы» заменить словами «определенные пунктом 7 части 1.2 настоящего Положения.».</w:t>
      </w:r>
    </w:p>
    <w:p w:rsidR="005E6F5B" w:rsidRDefault="00226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возникшие</w:t>
      </w:r>
      <w:r>
        <w:rPr>
          <w:rFonts w:ascii="Times New Roman" w:hAnsi="Times New Roman"/>
          <w:sz w:val="28"/>
        </w:rPr>
        <w:t xml:space="preserve"> с 1 июля 2024 года.</w:t>
      </w:r>
    </w:p>
    <w:p w:rsidR="005E6F5B" w:rsidRDefault="005E6F5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E6F5B" w:rsidRDefault="005E6F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5E6F5B">
        <w:trPr>
          <w:trHeight w:val="677"/>
        </w:trPr>
        <w:tc>
          <w:tcPr>
            <w:tcW w:w="3578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E6F5B" w:rsidRDefault="0022617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обязанности. Министра здравоохранения Камчатского края</w:t>
            </w:r>
          </w:p>
          <w:p w:rsidR="005E6F5B" w:rsidRDefault="005E6F5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E6F5B" w:rsidRDefault="0022617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5E6F5B" w:rsidRDefault="005E6F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E6F5B" w:rsidRDefault="005E6F5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5E6F5B" w:rsidRDefault="005E6F5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5E6F5B" w:rsidRDefault="00226174">
            <w:pPr>
              <w:spacing w:after="0" w:line="240" w:lineRule="auto"/>
              <w:ind w:right="-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О.С. Мельников</w:t>
            </w:r>
          </w:p>
        </w:tc>
      </w:tr>
      <w:tr w:rsidR="005E6F5B">
        <w:trPr>
          <w:trHeight w:val="677"/>
        </w:trPr>
        <w:tc>
          <w:tcPr>
            <w:tcW w:w="3578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E6F5B" w:rsidRDefault="005E6F5B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E6F5B" w:rsidRDefault="005E6F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E6F5B" w:rsidRDefault="005E6F5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5E6F5B" w:rsidRDefault="005E6F5B">
      <w:pPr>
        <w:ind w:firstLine="709"/>
      </w:pPr>
    </w:p>
    <w:sectPr w:rsidR="005E6F5B">
      <w:headerReference w:type="default" r:id="rId11"/>
      <w:pgSz w:w="11906" w:h="16838"/>
      <w:pgMar w:top="1134" w:right="851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5B" w:rsidRDefault="00226174">
      <w:pPr>
        <w:spacing w:after="0" w:line="240" w:lineRule="auto"/>
      </w:pPr>
      <w:r>
        <w:separator/>
      </w:r>
    </w:p>
  </w:endnote>
  <w:endnote w:type="continuationSeparator" w:id="0">
    <w:p w:rsidR="005E6F5B" w:rsidRDefault="0022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5B" w:rsidRDefault="00226174">
      <w:pPr>
        <w:spacing w:after="0" w:line="240" w:lineRule="auto"/>
      </w:pPr>
      <w:r>
        <w:separator/>
      </w:r>
    </w:p>
  </w:footnote>
  <w:footnote w:type="continuationSeparator" w:id="0">
    <w:p w:rsidR="005E6F5B" w:rsidRDefault="0022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092630"/>
      <w:docPartObj>
        <w:docPartGallery w:val="Page Numbers (Top of Page)"/>
        <w:docPartUnique/>
      </w:docPartObj>
    </w:sdtPr>
    <w:sdtEndPr/>
    <w:sdtContent>
      <w:p w:rsidR="005E6F5B" w:rsidRDefault="00226174">
        <w:pPr>
          <w:pStyle w:val="af0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E6F5B" w:rsidRDefault="005E6F5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110"/>
    <w:multiLevelType w:val="hybridMultilevel"/>
    <w:tmpl w:val="46745550"/>
    <w:lvl w:ilvl="0" w:tplc="65C80472">
      <w:start w:val="1"/>
      <w:numFmt w:val="decimal"/>
      <w:lvlText w:val="%1)"/>
      <w:lvlJc w:val="left"/>
      <w:pPr>
        <w:ind w:left="1070" w:hanging="360"/>
      </w:pPr>
    </w:lvl>
    <w:lvl w:ilvl="1" w:tplc="E138E3E0">
      <w:start w:val="1"/>
      <w:numFmt w:val="lowerLetter"/>
      <w:lvlText w:val="%2."/>
      <w:lvlJc w:val="left"/>
      <w:pPr>
        <w:ind w:left="1790" w:hanging="360"/>
      </w:pPr>
    </w:lvl>
    <w:lvl w:ilvl="2" w:tplc="A8B8479E">
      <w:start w:val="1"/>
      <w:numFmt w:val="lowerRoman"/>
      <w:lvlText w:val="%3."/>
      <w:lvlJc w:val="right"/>
      <w:pPr>
        <w:ind w:left="2510" w:hanging="180"/>
      </w:pPr>
    </w:lvl>
    <w:lvl w:ilvl="3" w:tplc="CBE6AC86">
      <w:start w:val="1"/>
      <w:numFmt w:val="decimal"/>
      <w:lvlText w:val="%4."/>
      <w:lvlJc w:val="left"/>
      <w:pPr>
        <w:ind w:left="3230" w:hanging="360"/>
      </w:pPr>
    </w:lvl>
    <w:lvl w:ilvl="4" w:tplc="43E28136">
      <w:start w:val="1"/>
      <w:numFmt w:val="lowerLetter"/>
      <w:lvlText w:val="%5."/>
      <w:lvlJc w:val="left"/>
      <w:pPr>
        <w:ind w:left="3950" w:hanging="360"/>
      </w:pPr>
    </w:lvl>
    <w:lvl w:ilvl="5" w:tplc="6E345444">
      <w:start w:val="1"/>
      <w:numFmt w:val="lowerRoman"/>
      <w:lvlText w:val="%6."/>
      <w:lvlJc w:val="right"/>
      <w:pPr>
        <w:ind w:left="4670" w:hanging="180"/>
      </w:pPr>
    </w:lvl>
    <w:lvl w:ilvl="6" w:tplc="4A16A254">
      <w:start w:val="1"/>
      <w:numFmt w:val="decimal"/>
      <w:lvlText w:val="%7."/>
      <w:lvlJc w:val="left"/>
      <w:pPr>
        <w:ind w:left="5390" w:hanging="360"/>
      </w:pPr>
    </w:lvl>
    <w:lvl w:ilvl="7" w:tplc="2148162C">
      <w:start w:val="1"/>
      <w:numFmt w:val="lowerLetter"/>
      <w:lvlText w:val="%8."/>
      <w:lvlJc w:val="left"/>
      <w:pPr>
        <w:ind w:left="6110" w:hanging="360"/>
      </w:pPr>
    </w:lvl>
    <w:lvl w:ilvl="8" w:tplc="F82EC63E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F3C4DE7"/>
    <w:multiLevelType w:val="hybridMultilevel"/>
    <w:tmpl w:val="AC42F6A4"/>
    <w:lvl w:ilvl="0" w:tplc="7676FF74">
      <w:start w:val="1"/>
      <w:numFmt w:val="decimal"/>
      <w:lvlText w:val="%1."/>
      <w:lvlJc w:val="left"/>
      <w:pPr>
        <w:ind w:left="739" w:hanging="360"/>
      </w:pPr>
      <w:rPr>
        <w:b w:val="0"/>
      </w:rPr>
    </w:lvl>
    <w:lvl w:ilvl="1" w:tplc="96908DAA">
      <w:start w:val="1"/>
      <w:numFmt w:val="lowerLetter"/>
      <w:lvlText w:val="%2."/>
      <w:lvlJc w:val="left"/>
      <w:pPr>
        <w:ind w:left="1459" w:hanging="360"/>
      </w:pPr>
    </w:lvl>
    <w:lvl w:ilvl="2" w:tplc="5D90F474">
      <w:start w:val="1"/>
      <w:numFmt w:val="lowerRoman"/>
      <w:lvlText w:val="%3."/>
      <w:lvlJc w:val="right"/>
      <w:pPr>
        <w:ind w:left="2179" w:hanging="180"/>
      </w:pPr>
    </w:lvl>
    <w:lvl w:ilvl="3" w:tplc="B9CEB934">
      <w:start w:val="1"/>
      <w:numFmt w:val="decimal"/>
      <w:lvlText w:val="%4."/>
      <w:lvlJc w:val="left"/>
      <w:pPr>
        <w:ind w:left="2899" w:hanging="360"/>
      </w:pPr>
    </w:lvl>
    <w:lvl w:ilvl="4" w:tplc="72743260">
      <w:start w:val="1"/>
      <w:numFmt w:val="lowerLetter"/>
      <w:lvlText w:val="%5."/>
      <w:lvlJc w:val="left"/>
      <w:pPr>
        <w:ind w:left="3619" w:hanging="360"/>
      </w:pPr>
    </w:lvl>
    <w:lvl w:ilvl="5" w:tplc="F6EEA520">
      <w:start w:val="1"/>
      <w:numFmt w:val="lowerRoman"/>
      <w:lvlText w:val="%6."/>
      <w:lvlJc w:val="right"/>
      <w:pPr>
        <w:ind w:left="4339" w:hanging="180"/>
      </w:pPr>
    </w:lvl>
    <w:lvl w:ilvl="6" w:tplc="310043FA">
      <w:start w:val="1"/>
      <w:numFmt w:val="decimal"/>
      <w:lvlText w:val="%7."/>
      <w:lvlJc w:val="left"/>
      <w:pPr>
        <w:ind w:left="5059" w:hanging="360"/>
      </w:pPr>
    </w:lvl>
    <w:lvl w:ilvl="7" w:tplc="636A302E">
      <w:start w:val="1"/>
      <w:numFmt w:val="lowerLetter"/>
      <w:lvlText w:val="%8."/>
      <w:lvlJc w:val="left"/>
      <w:pPr>
        <w:ind w:left="5779" w:hanging="360"/>
      </w:pPr>
    </w:lvl>
    <w:lvl w:ilvl="8" w:tplc="C75EE036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3A396B74"/>
    <w:multiLevelType w:val="hybridMultilevel"/>
    <w:tmpl w:val="3A66AD3C"/>
    <w:lvl w:ilvl="0" w:tplc="60BA1C06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6A7201F0">
      <w:start w:val="1"/>
      <w:numFmt w:val="lowerLetter"/>
      <w:lvlText w:val="%2."/>
      <w:lvlJc w:val="left"/>
      <w:pPr>
        <w:ind w:left="6042" w:hanging="360"/>
      </w:pPr>
    </w:lvl>
    <w:lvl w:ilvl="2" w:tplc="8CAC08F8">
      <w:start w:val="1"/>
      <w:numFmt w:val="lowerRoman"/>
      <w:lvlText w:val="%3."/>
      <w:lvlJc w:val="right"/>
      <w:pPr>
        <w:ind w:left="6762" w:hanging="180"/>
      </w:pPr>
    </w:lvl>
    <w:lvl w:ilvl="3" w:tplc="592411BC">
      <w:start w:val="1"/>
      <w:numFmt w:val="decimal"/>
      <w:lvlText w:val="%4."/>
      <w:lvlJc w:val="left"/>
      <w:pPr>
        <w:ind w:left="7482" w:hanging="360"/>
      </w:pPr>
    </w:lvl>
    <w:lvl w:ilvl="4" w:tplc="D64A6A5A">
      <w:start w:val="1"/>
      <w:numFmt w:val="lowerLetter"/>
      <w:lvlText w:val="%5."/>
      <w:lvlJc w:val="left"/>
      <w:pPr>
        <w:ind w:left="8202" w:hanging="360"/>
      </w:pPr>
    </w:lvl>
    <w:lvl w:ilvl="5" w:tplc="977289D0">
      <w:start w:val="1"/>
      <w:numFmt w:val="lowerRoman"/>
      <w:lvlText w:val="%6."/>
      <w:lvlJc w:val="right"/>
      <w:pPr>
        <w:ind w:left="8922" w:hanging="180"/>
      </w:pPr>
    </w:lvl>
    <w:lvl w:ilvl="6" w:tplc="8580EB9A">
      <w:start w:val="1"/>
      <w:numFmt w:val="decimal"/>
      <w:lvlText w:val="%7."/>
      <w:lvlJc w:val="left"/>
      <w:pPr>
        <w:ind w:left="9642" w:hanging="360"/>
      </w:pPr>
    </w:lvl>
    <w:lvl w:ilvl="7" w:tplc="0C14C590">
      <w:start w:val="1"/>
      <w:numFmt w:val="lowerLetter"/>
      <w:lvlText w:val="%8."/>
      <w:lvlJc w:val="left"/>
      <w:pPr>
        <w:ind w:left="10362" w:hanging="360"/>
      </w:pPr>
    </w:lvl>
    <w:lvl w:ilvl="8" w:tplc="B92EA668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539E1167"/>
    <w:multiLevelType w:val="hybridMultilevel"/>
    <w:tmpl w:val="9DF0AF70"/>
    <w:lvl w:ilvl="0" w:tplc="CF22E8E6">
      <w:start w:val="1"/>
      <w:numFmt w:val="decimal"/>
      <w:lvlText w:val="%1)"/>
      <w:lvlJc w:val="left"/>
      <w:pPr>
        <w:ind w:left="1353" w:hanging="360"/>
      </w:pPr>
    </w:lvl>
    <w:lvl w:ilvl="1" w:tplc="43F21020">
      <w:start w:val="1"/>
      <w:numFmt w:val="decimal"/>
      <w:lvlText w:val="%2)"/>
      <w:lvlJc w:val="left"/>
      <w:pPr>
        <w:ind w:left="1440" w:hanging="360"/>
      </w:pPr>
    </w:lvl>
    <w:lvl w:ilvl="2" w:tplc="1E02A6B6">
      <w:start w:val="1"/>
      <w:numFmt w:val="lowerRoman"/>
      <w:lvlText w:val="%3)"/>
      <w:lvlJc w:val="right"/>
      <w:pPr>
        <w:ind w:left="2160" w:hanging="360"/>
      </w:pPr>
    </w:lvl>
    <w:lvl w:ilvl="3" w:tplc="020622E2">
      <w:start w:val="1"/>
      <w:numFmt w:val="decimal"/>
      <w:lvlText w:val="%4)"/>
      <w:lvlJc w:val="left"/>
      <w:pPr>
        <w:ind w:left="2880" w:hanging="360"/>
      </w:pPr>
    </w:lvl>
    <w:lvl w:ilvl="4" w:tplc="B96290A6">
      <w:start w:val="1"/>
      <w:numFmt w:val="decimal"/>
      <w:lvlText w:val="%5)"/>
      <w:lvlJc w:val="left"/>
      <w:pPr>
        <w:ind w:left="3600" w:hanging="360"/>
      </w:pPr>
    </w:lvl>
    <w:lvl w:ilvl="5" w:tplc="D0025B9A">
      <w:start w:val="1"/>
      <w:numFmt w:val="lowerRoman"/>
      <w:lvlText w:val="%6)"/>
      <w:lvlJc w:val="right"/>
      <w:pPr>
        <w:ind w:left="4320" w:hanging="360"/>
      </w:pPr>
    </w:lvl>
    <w:lvl w:ilvl="6" w:tplc="84EE1FB0">
      <w:start w:val="1"/>
      <w:numFmt w:val="decimal"/>
      <w:lvlText w:val="%7."/>
      <w:lvlJc w:val="left"/>
      <w:pPr>
        <w:ind w:left="5040" w:hanging="360"/>
      </w:pPr>
    </w:lvl>
    <w:lvl w:ilvl="7" w:tplc="098A30F8">
      <w:start w:val="1"/>
      <w:numFmt w:val="decimal"/>
      <w:lvlText w:val="%8."/>
      <w:lvlJc w:val="left"/>
      <w:pPr>
        <w:ind w:left="5760" w:hanging="360"/>
      </w:pPr>
    </w:lvl>
    <w:lvl w:ilvl="8" w:tplc="103E987A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9FA0EFD"/>
    <w:multiLevelType w:val="hybridMultilevel"/>
    <w:tmpl w:val="886C2654"/>
    <w:lvl w:ilvl="0" w:tplc="C8ACE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2AE89A">
      <w:start w:val="1"/>
      <w:numFmt w:val="lowerLetter"/>
      <w:lvlText w:val="%2."/>
      <w:lvlJc w:val="left"/>
      <w:pPr>
        <w:ind w:left="1440" w:hanging="360"/>
      </w:pPr>
    </w:lvl>
    <w:lvl w:ilvl="2" w:tplc="1EE24250">
      <w:start w:val="1"/>
      <w:numFmt w:val="lowerRoman"/>
      <w:lvlText w:val="%3."/>
      <w:lvlJc w:val="right"/>
      <w:pPr>
        <w:ind w:left="2160" w:hanging="180"/>
      </w:pPr>
    </w:lvl>
    <w:lvl w:ilvl="3" w:tplc="5B180F22">
      <w:start w:val="1"/>
      <w:numFmt w:val="decimal"/>
      <w:lvlText w:val="%4."/>
      <w:lvlJc w:val="left"/>
      <w:pPr>
        <w:ind w:left="2880" w:hanging="360"/>
      </w:pPr>
    </w:lvl>
    <w:lvl w:ilvl="4" w:tplc="0E54EE34">
      <w:start w:val="1"/>
      <w:numFmt w:val="lowerLetter"/>
      <w:lvlText w:val="%5."/>
      <w:lvlJc w:val="left"/>
      <w:pPr>
        <w:ind w:left="3600" w:hanging="360"/>
      </w:pPr>
    </w:lvl>
    <w:lvl w:ilvl="5" w:tplc="BE96F7E4">
      <w:start w:val="1"/>
      <w:numFmt w:val="lowerRoman"/>
      <w:lvlText w:val="%6."/>
      <w:lvlJc w:val="right"/>
      <w:pPr>
        <w:ind w:left="4320" w:hanging="180"/>
      </w:pPr>
    </w:lvl>
    <w:lvl w:ilvl="6" w:tplc="7BB40BB8">
      <w:start w:val="1"/>
      <w:numFmt w:val="decimal"/>
      <w:lvlText w:val="%7."/>
      <w:lvlJc w:val="left"/>
      <w:pPr>
        <w:ind w:left="5040" w:hanging="360"/>
      </w:pPr>
    </w:lvl>
    <w:lvl w:ilvl="7" w:tplc="DAB25A20">
      <w:start w:val="1"/>
      <w:numFmt w:val="lowerLetter"/>
      <w:lvlText w:val="%8."/>
      <w:lvlJc w:val="left"/>
      <w:pPr>
        <w:ind w:left="5760" w:hanging="360"/>
      </w:pPr>
    </w:lvl>
    <w:lvl w:ilvl="8" w:tplc="F03CB9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A1BE0"/>
    <w:multiLevelType w:val="hybridMultilevel"/>
    <w:tmpl w:val="291A37F2"/>
    <w:lvl w:ilvl="0" w:tplc="C2DADE0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ED4C9C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52EA642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C6D449A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4B485CA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97C8EA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D7E82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040FB2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67267D2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0E011DB"/>
    <w:multiLevelType w:val="hybridMultilevel"/>
    <w:tmpl w:val="5DEED8A2"/>
    <w:lvl w:ilvl="0" w:tplc="6AE89FD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FDE4D0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D14AB0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F85C65A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B386CD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D482396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D3ECA98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4AA4C6B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2FCC2F8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7381619D"/>
    <w:multiLevelType w:val="hybridMultilevel"/>
    <w:tmpl w:val="F8EACD56"/>
    <w:lvl w:ilvl="0" w:tplc="D56C1F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ED02150">
      <w:start w:val="1"/>
      <w:numFmt w:val="lowerLetter"/>
      <w:lvlText w:val="%2."/>
      <w:lvlJc w:val="left"/>
      <w:pPr>
        <w:ind w:left="1785" w:hanging="360"/>
      </w:pPr>
    </w:lvl>
    <w:lvl w:ilvl="2" w:tplc="76BC6EBC">
      <w:start w:val="1"/>
      <w:numFmt w:val="lowerRoman"/>
      <w:lvlText w:val="%3."/>
      <w:lvlJc w:val="right"/>
      <w:pPr>
        <w:ind w:left="2505" w:hanging="180"/>
      </w:pPr>
    </w:lvl>
    <w:lvl w:ilvl="3" w:tplc="B0FC2C26">
      <w:start w:val="1"/>
      <w:numFmt w:val="decimal"/>
      <w:lvlText w:val="%4."/>
      <w:lvlJc w:val="left"/>
      <w:pPr>
        <w:ind w:left="3225" w:hanging="360"/>
      </w:pPr>
    </w:lvl>
    <w:lvl w:ilvl="4" w:tplc="FB602AC4">
      <w:start w:val="1"/>
      <w:numFmt w:val="lowerLetter"/>
      <w:lvlText w:val="%5."/>
      <w:lvlJc w:val="left"/>
      <w:pPr>
        <w:ind w:left="3945" w:hanging="360"/>
      </w:pPr>
    </w:lvl>
    <w:lvl w:ilvl="5" w:tplc="FDB471C6">
      <w:start w:val="1"/>
      <w:numFmt w:val="lowerRoman"/>
      <w:lvlText w:val="%6."/>
      <w:lvlJc w:val="right"/>
      <w:pPr>
        <w:ind w:left="4665" w:hanging="180"/>
      </w:pPr>
    </w:lvl>
    <w:lvl w:ilvl="6" w:tplc="2F46F5FE">
      <w:start w:val="1"/>
      <w:numFmt w:val="decimal"/>
      <w:lvlText w:val="%7."/>
      <w:lvlJc w:val="left"/>
      <w:pPr>
        <w:ind w:left="5385" w:hanging="360"/>
      </w:pPr>
    </w:lvl>
    <w:lvl w:ilvl="7" w:tplc="C8B083A4">
      <w:start w:val="1"/>
      <w:numFmt w:val="lowerLetter"/>
      <w:lvlText w:val="%8."/>
      <w:lvlJc w:val="left"/>
      <w:pPr>
        <w:ind w:left="6105" w:hanging="360"/>
      </w:pPr>
    </w:lvl>
    <w:lvl w:ilvl="8" w:tplc="B6D21B9E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B0C5A72"/>
    <w:multiLevelType w:val="hybridMultilevel"/>
    <w:tmpl w:val="07521AF0"/>
    <w:lvl w:ilvl="0" w:tplc="EB82897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633459A4">
      <w:start w:val="1"/>
      <w:numFmt w:val="lowerLetter"/>
      <w:lvlText w:val="%2."/>
      <w:lvlJc w:val="left"/>
      <w:pPr>
        <w:ind w:left="1819" w:hanging="360"/>
      </w:pPr>
    </w:lvl>
    <w:lvl w:ilvl="2" w:tplc="69FEAAE8">
      <w:start w:val="1"/>
      <w:numFmt w:val="lowerRoman"/>
      <w:lvlText w:val="%3."/>
      <w:lvlJc w:val="right"/>
      <w:pPr>
        <w:ind w:left="2539" w:hanging="180"/>
      </w:pPr>
    </w:lvl>
    <w:lvl w:ilvl="3" w:tplc="FCBA014C">
      <w:start w:val="1"/>
      <w:numFmt w:val="decimal"/>
      <w:lvlText w:val="%4."/>
      <w:lvlJc w:val="left"/>
      <w:pPr>
        <w:ind w:left="3259" w:hanging="360"/>
      </w:pPr>
    </w:lvl>
    <w:lvl w:ilvl="4" w:tplc="03508568">
      <w:start w:val="1"/>
      <w:numFmt w:val="lowerLetter"/>
      <w:lvlText w:val="%5."/>
      <w:lvlJc w:val="left"/>
      <w:pPr>
        <w:ind w:left="3979" w:hanging="360"/>
      </w:pPr>
    </w:lvl>
    <w:lvl w:ilvl="5" w:tplc="5664D198">
      <w:start w:val="1"/>
      <w:numFmt w:val="lowerRoman"/>
      <w:lvlText w:val="%6."/>
      <w:lvlJc w:val="right"/>
      <w:pPr>
        <w:ind w:left="4699" w:hanging="180"/>
      </w:pPr>
    </w:lvl>
    <w:lvl w:ilvl="6" w:tplc="2B66537A">
      <w:start w:val="1"/>
      <w:numFmt w:val="decimal"/>
      <w:lvlText w:val="%7."/>
      <w:lvlJc w:val="left"/>
      <w:pPr>
        <w:ind w:left="5419" w:hanging="360"/>
      </w:pPr>
    </w:lvl>
    <w:lvl w:ilvl="7" w:tplc="051E893A">
      <w:start w:val="1"/>
      <w:numFmt w:val="lowerLetter"/>
      <w:lvlText w:val="%8."/>
      <w:lvlJc w:val="left"/>
      <w:pPr>
        <w:ind w:left="6139" w:hanging="360"/>
      </w:pPr>
    </w:lvl>
    <w:lvl w:ilvl="8" w:tplc="F4F03BEA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5B"/>
    <w:rsid w:val="00226174"/>
    <w:rsid w:val="005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4A6E6-5420-4045-9D7C-391F88DD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TOC Heading"/>
    <w:uiPriority w:val="39"/>
    <w:unhideWhenUsed/>
  </w:style>
  <w:style w:type="character" w:customStyle="1" w:styleId="13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6">
    <w:name w:val="Основной шрифт абзаца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3"/>
    <w:link w:val="af0"/>
    <w:uiPriority w:val="99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6">
    <w:name w:val="Гиперссылка1"/>
    <w:basedOn w:val="14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f2"/>
    <w:rPr>
      <w:color w:val="0000FF"/>
      <w:u w:val="single"/>
    </w:rPr>
  </w:style>
  <w:style w:type="character" w:styleId="af2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Обычный1"/>
    <w:link w:val="1"/>
  </w:style>
  <w:style w:type="character" w:customStyle="1" w:styleId="1">
    <w:name w:val="Обычный1"/>
    <w:link w:val="1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3"/>
    <w:link w:val="af7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a">
    <w:name w:val="Нижний колонтитул Знак"/>
    <w:basedOn w:val="13"/>
    <w:link w:val="af9"/>
    <w:rPr>
      <w:rFonts w:ascii="Times New Roman" w:hAnsi="Times New Roman"/>
      <w:sz w:val="28"/>
    </w:rPr>
  </w:style>
  <w:style w:type="paragraph" w:styleId="afb">
    <w:name w:val="Plain Text"/>
    <w:basedOn w:val="a"/>
    <w:link w:val="afc"/>
    <w:pPr>
      <w:spacing w:after="0" w:line="240" w:lineRule="auto"/>
    </w:pPr>
  </w:style>
  <w:style w:type="character" w:customStyle="1" w:styleId="afc">
    <w:name w:val="Текст Знак"/>
    <w:basedOn w:val="13"/>
    <w:link w:val="afb"/>
    <w:rPr>
      <w:rFonts w:ascii="Calibri" w:hAnsi="Calibri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e">
    <w:name w:val="Normal (Web)"/>
    <w:basedOn w:val="a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Чуприна Ольга Михайловна</cp:lastModifiedBy>
  <cp:revision>2</cp:revision>
  <dcterms:created xsi:type="dcterms:W3CDTF">2024-07-25T02:58:00Z</dcterms:created>
  <dcterms:modified xsi:type="dcterms:W3CDTF">2024-07-25T02:58:00Z</dcterms:modified>
</cp:coreProperties>
</file>