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6A" w:rsidRDefault="00E1026A" w:rsidP="00E1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Постановление Правительства Камчатского края от 14.12.2021 № 541-П                   </w:t>
      </w:r>
      <w:proofErr w:type="gramStart"/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  «</w:t>
      </w:r>
      <w:proofErr w:type="gramEnd"/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О внесении изменений в постановление Правительства Ка</w:t>
      </w: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мчатского края</w:t>
      </w:r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от 27.06.2012 № 284-П «О мерах по обеспечению медицинскими кадрами государственных учреждений здравоохранения Камчатского края»</w:t>
      </w:r>
    </w:p>
    <w:p w:rsidR="00E1026A" w:rsidRPr="000B72E0" w:rsidRDefault="00E1026A" w:rsidP="00E1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</w:p>
    <w:p w:rsidR="00A51B04" w:rsidRDefault="00A51B04" w:rsidP="00A51B04">
      <w:pPr>
        <w:spacing w:after="0"/>
        <w:ind w:left="495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постановлению </w:t>
      </w:r>
    </w:p>
    <w:p w:rsidR="00A51B04" w:rsidRDefault="00A51B04" w:rsidP="00A51B04">
      <w:pPr>
        <w:pStyle w:val="ConsPlusNormal"/>
        <w:ind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A51B04" w:rsidRDefault="00A51B04" w:rsidP="00A51B04">
      <w:pPr>
        <w:pStyle w:val="ConsPlusNormal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27.06.2012 № 284-П </w:t>
      </w:r>
    </w:p>
    <w:p w:rsidR="00A51B04" w:rsidRDefault="00A51B04" w:rsidP="00A51B04">
      <w:pPr>
        <w:pStyle w:val="ConsPlusTitle"/>
        <w:jc w:val="center"/>
        <w:rPr>
          <w:rFonts w:ascii="Times New Roman" w:hAnsi="Times New Roman"/>
          <w:sz w:val="28"/>
        </w:rPr>
      </w:pPr>
      <w:bookmarkStart w:id="1" w:name="P145"/>
      <w:bookmarkEnd w:id="1"/>
    </w:p>
    <w:p w:rsidR="00A51B04" w:rsidRDefault="00A51B04" w:rsidP="00A51B04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Положение </w:t>
      </w:r>
    </w:p>
    <w:p w:rsidR="00A51B04" w:rsidRDefault="00A51B04" w:rsidP="00A51B0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компенсации стоимости проезда студентам, врачам клиническим </w:t>
      </w:r>
      <w:r w:rsidRPr="00DB5E73">
        <w:rPr>
          <w:rFonts w:ascii="Times New Roman" w:hAnsi="Times New Roman"/>
          <w:sz w:val="28"/>
        </w:rPr>
        <w:t>ординаторам медицинских государственных образовательных учреждений</w:t>
      </w:r>
      <w:r>
        <w:rPr>
          <w:rFonts w:ascii="Times New Roman" w:hAnsi="Times New Roman"/>
          <w:sz w:val="28"/>
        </w:rPr>
        <w:t>, обучающимся по целевым направлениям Министерства здравоохранения Камчатского края, от места целевого обучения до места прохождения производственной практики на территории Камчатского края и в обратном направлении</w:t>
      </w:r>
    </w:p>
    <w:p w:rsidR="00A51B04" w:rsidRDefault="00A51B04" w:rsidP="00A51B04">
      <w:pPr>
        <w:pStyle w:val="ConsPlusNormal"/>
        <w:jc w:val="both"/>
        <w:rPr>
          <w:rFonts w:ascii="Times New Roman" w:hAnsi="Times New Roman"/>
          <w:sz w:val="28"/>
        </w:rPr>
      </w:pPr>
    </w:p>
    <w:p w:rsidR="00A51B04" w:rsidRDefault="00A51B04" w:rsidP="00A51B04">
      <w:pPr>
        <w:pStyle w:val="ConsPlusNormal"/>
        <w:jc w:val="both"/>
        <w:rPr>
          <w:rFonts w:ascii="Times New Roman" w:hAnsi="Times New Roman"/>
          <w:sz w:val="28"/>
        </w:rPr>
      </w:pPr>
    </w:p>
    <w:p w:rsidR="00A51B04" w:rsidRDefault="00A51B04" w:rsidP="00A51B04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порядок и условия компенсации студентам, врачам клиническим </w:t>
      </w:r>
      <w:r w:rsidRPr="00DB5E73">
        <w:rPr>
          <w:rFonts w:ascii="Times New Roman" w:hAnsi="Times New Roman"/>
          <w:sz w:val="28"/>
        </w:rPr>
        <w:t>ординаторам медицинских государственных образовательных учреждений,</w:t>
      </w:r>
      <w:r>
        <w:rPr>
          <w:rFonts w:ascii="Times New Roman" w:hAnsi="Times New Roman"/>
          <w:sz w:val="28"/>
        </w:rPr>
        <w:t xml:space="preserve"> проходящим целевое обучение по образовательным программам высшего образования в медицинских государственных образовательных учреждениях, включаемых в договоры о целевом обучении (далее </w:t>
      </w:r>
      <w:r w:rsidRPr="00DB5E73">
        <w:rPr>
          <w:rFonts w:ascii="Times New Roman" w:hAnsi="Times New Roman"/>
          <w:sz w:val="28"/>
        </w:rPr>
        <w:t>соответственно</w:t>
      </w:r>
      <w:r>
        <w:rPr>
          <w:rFonts w:ascii="Times New Roman" w:hAnsi="Times New Roman"/>
          <w:sz w:val="28"/>
        </w:rPr>
        <w:t xml:space="preserve"> – обучающиеся, образовательные учреждения), стоимости проезда от места целевого обучения до места прохождения производственной практики на территории Камчатского края и в обратном направлении (далее – компенсационная выплата).</w:t>
      </w:r>
    </w:p>
    <w:p w:rsidR="00A51B04" w:rsidRDefault="00A51B04" w:rsidP="00A51B0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Компенсационная выплата предоставляется Министерством здравоохранения Камчатского края, являющимся заказчиком целевого обучения (далее – Министерство), в пределах средств, предусмотренных на эти цели Министерству в рамках </w:t>
      </w:r>
      <w:r w:rsidRPr="00DB5E73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одпрограммы 7 «Кадровое обеспечение системы здравоохранения»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524-П.</w:t>
      </w:r>
    </w:p>
    <w:p w:rsidR="00A51B04" w:rsidRDefault="00A51B04" w:rsidP="00A51B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Компенсационная выплата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Право на компенсационную выплату у обучающегося возникает после окончания первого учебного года обучения в образовательном учреждении.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Компенсационная выплата производится один раз в год.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Компенсационные выплаты не суммируются в случае, если обучающийся не воспользовался правом на компенсационную выплату.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Условиями предоставления компенсационной выплаты являются: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договор о целевом обучении, заключенный между студентом, врачом клиническим ординатором, поступившими на обучение по образовательным программам высшего образования, и Министерством; 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зачисление студента, врача клинического ординатора на целевое обучение образовательным учреждением;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прохождение </w:t>
      </w:r>
      <w:r w:rsidRPr="00E96E24">
        <w:rPr>
          <w:rFonts w:ascii="Times New Roman" w:hAnsi="Times New Roman"/>
          <w:sz w:val="28"/>
        </w:rPr>
        <w:t>производственной практики</w:t>
      </w:r>
      <w:r>
        <w:rPr>
          <w:rFonts w:ascii="Times New Roman" w:hAnsi="Times New Roman"/>
          <w:sz w:val="28"/>
        </w:rPr>
        <w:t xml:space="preserve"> обучающимся в медицинской организации, расположенной на территории Камчатского края (далее – медицинская организация);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аттестация обучающегося образовательным учреждением после окончания практической подготовки (далее – аттестация).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Компенсационная выплата назначается обучающемуся при предоставлении документов, подтверждающих фактически произведенные расходы, но не выше стоимости </w:t>
      </w:r>
      <w:r w:rsidRPr="005D6518">
        <w:rPr>
          <w:rFonts w:ascii="Times New Roman" w:hAnsi="Times New Roman"/>
          <w:sz w:val="28"/>
        </w:rPr>
        <w:t>следующей категории</w:t>
      </w:r>
      <w:r>
        <w:rPr>
          <w:rFonts w:ascii="Times New Roman" w:hAnsi="Times New Roman"/>
          <w:sz w:val="28"/>
        </w:rPr>
        <w:t xml:space="preserve"> проезда: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воздушным транспортом – в салоне экономического класса по тарифам экономического класса обслуживания;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железнодорожном транспорте – в купейном вагоне скорого фирменного поезда;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аэроэкспрессе (по тарифу стандарт) к (от) аэропорту, железнодорожной станции;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автобусе междугородного сообщения.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8. Размер компенсационной выплаты не может превышать: 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58 000 рублей – для компенсации расходов на оплату проезда обучающемуся от места целевого обучения к месту прохождения </w:t>
      </w:r>
      <w:r w:rsidRPr="00554834">
        <w:rPr>
          <w:rFonts w:ascii="Times New Roman" w:hAnsi="Times New Roman"/>
          <w:sz w:val="28"/>
        </w:rPr>
        <w:t>производственной практики</w:t>
      </w:r>
      <w:r>
        <w:rPr>
          <w:rFonts w:ascii="Times New Roman" w:hAnsi="Times New Roman"/>
          <w:sz w:val="28"/>
        </w:rPr>
        <w:t xml:space="preserve"> в медицинских организациях, расположенных на территории Корякского округа или Алеутского муниципального округа в Камчатском крае и в обратном направлении;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25 000 рублей – для компенсации расходов на оплату проезда обучающемуся от места целевого обучения к месту прохождения </w:t>
      </w:r>
      <w:r w:rsidRPr="00554834">
        <w:rPr>
          <w:rFonts w:ascii="Times New Roman" w:hAnsi="Times New Roman"/>
          <w:sz w:val="28"/>
        </w:rPr>
        <w:t>производственной практики</w:t>
      </w:r>
      <w:r>
        <w:rPr>
          <w:rFonts w:ascii="Times New Roman" w:hAnsi="Times New Roman"/>
          <w:sz w:val="28"/>
        </w:rPr>
        <w:t xml:space="preserve"> в медицинских организациях, расположенных в остальных населенных пунктах Камчатского края и в обратном направлении.</w:t>
      </w:r>
    </w:p>
    <w:p w:rsidR="00A51B04" w:rsidRDefault="00A51B04" w:rsidP="00A51B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Для назначения компенсационной выплаты обучающийся в течение 3 месяцев после аттестации направляет в Министерство следующие документы: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компенсационной выплаты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Положению;  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или иного документа, удостоверяющего личность;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приказа (</w:t>
      </w:r>
      <w:r w:rsidRPr="00554834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справки) медицинской организации о прохождении </w:t>
      </w:r>
      <w:r w:rsidRPr="00554834">
        <w:rPr>
          <w:rFonts w:ascii="Times New Roman" w:hAnsi="Times New Roman"/>
          <w:sz w:val="28"/>
        </w:rPr>
        <w:t>производственной практики</w:t>
      </w:r>
      <w:r w:rsidRPr="00E96E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медицинской организации;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копию зачетной книжки (страницы 1, 2 и страницы раздела «Практика») или иного документа, подтверждающего аттестацию обучающегося по пройденной практике, заверенных образовательным учреждением; 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проездные документы (билеты) и </w:t>
      </w:r>
      <w:r w:rsidRPr="00554834">
        <w:rPr>
          <w:rFonts w:ascii="Times New Roman" w:hAnsi="Times New Roman"/>
          <w:sz w:val="28"/>
        </w:rPr>
        <w:t>подлинники</w:t>
      </w:r>
      <w:r>
        <w:rPr>
          <w:rFonts w:ascii="Times New Roman" w:hAnsi="Times New Roman"/>
          <w:sz w:val="28"/>
        </w:rPr>
        <w:t xml:space="preserve"> посадочных талонов;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 использовании электронных проездных документов, оформленных в установленном порядке, обучающийся направляет в Министерство: 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маршрутную квитанцию электронного билета, </w:t>
      </w:r>
      <w:r w:rsidRPr="00554834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посадочного талона – в случае проезд</w:t>
      </w:r>
      <w:r w:rsidRPr="0055483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воздушным транспортом; </w:t>
      </w:r>
    </w:p>
    <w:p w:rsidR="00A51B04" w:rsidRDefault="00A51B04" w:rsidP="00A51B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контрольный купон электронного проездного документа – при проезде железнодорожным транспортом;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7) платежные документы об оплате услуг по оформлению проездных документов;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справку транспортной организации, подтверждающую факт совершения проезда, в случае утери посадочного талона;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справку транспортной организации (иной организации, индивидуального предпринимателя), осуществляющей продажу билетов, подтверждающую факт оплаты билета с указанием стоимости, в случае утери проездного документа (билета);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справку о стоимости проезда, в соответствии с установленной частью 7 настоящего Положения категорией проезда, на дату приобретения проездного документа (билета), в случае, если расходы на проезд произведены по более высокой категории проезда, чем предусмотрено </w:t>
      </w:r>
      <w:hyperlink r:id="rId5" w:history="1">
        <w:r>
          <w:rPr>
            <w:rFonts w:ascii="Times New Roman" w:hAnsi="Times New Roman"/>
            <w:color w:val="000000" w:themeColor="text1"/>
            <w:sz w:val="28"/>
          </w:rPr>
          <w:t>частью 7</w:t>
        </w:r>
      </w:hyperlink>
      <w:r>
        <w:rPr>
          <w:rFonts w:ascii="Times New Roman" w:hAnsi="Times New Roman"/>
          <w:sz w:val="28"/>
        </w:rPr>
        <w:t xml:space="preserve"> настоящего Положения. 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согласие на обработку персональных данных;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реквизиты счета, открытого в кредитной организации обучающемуся.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Не подлежат компенсации расходы на получение справок, указанных в пунктах 8-10 части 9 настоящего Положения, сборы, связанные с предварительной продажей (бронированием) билетов, предварительным выбором места,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переоформлением билетов, добровольным страхованием пассажиров, оплатой сверх установленной нормы бесплатного провоза багажа, а также штрафы при возврате билетов</w:t>
      </w:r>
      <w:r>
        <w:rPr>
          <w:rFonts w:ascii="Times New Roman" w:hAnsi="Times New Roman"/>
          <w:sz w:val="28"/>
        </w:rPr>
        <w:t xml:space="preserve">. 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в течение 15 рабочих дней со дня поступления документов, предусмотренных частью 9 настоящего Положения, рассматривает их, осуществляет проверку и принимает решение о назначении компенсационной выплаты или об отказе в назначении компенсационной выплаты.</w:t>
      </w:r>
    </w:p>
    <w:p w:rsidR="00A51B04" w:rsidRDefault="00A51B04" w:rsidP="00A51B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Решение о назначении компенсационной выплаты оформляется приказом Министерства, решение об отказе в назначении компенсационной выплаты оформляется уведомлением.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33138A">
        <w:rPr>
          <w:rFonts w:ascii="Times New Roman" w:hAnsi="Times New Roman"/>
          <w:sz w:val="28"/>
        </w:rPr>
        <w:t>13.  Министерство в течение 5 рабочих дней со дня принятия решения о назначении компенсационной выплаты или об отказе в назначении компенсационной выплаты направляет обучающемуся уведомление о принятом решении посредством почтового отправления по адресу, указанному в заявлении.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Основаниями для отказа обучающемуся в назначении компенсационной выплаты являются: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условиям предоставления компенсационной выплаты, установленным частью 6 настоящего Положения;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или представление не в полном объеме документов, предусмотренных частью 9 настоящего Положения;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документов по истечении срока, установленного                        частью 9 настоящего Положения;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представление документов,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</w:t>
      </w:r>
      <w:r>
        <w:rPr>
          <w:rFonts w:ascii="Times New Roman" w:hAnsi="Times New Roman"/>
          <w:sz w:val="28"/>
        </w:rPr>
        <w:lastRenderedPageBreak/>
        <w:t>содержание.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Компенсационная выплата перечисляется в течение 15 рабочих дней со дня принятия решения о назначении компенсационной выплаты на счет обучающегося по предоставленным платежным реквизитам.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 w:rsidRPr="00E32AF1">
        <w:rPr>
          <w:rFonts w:ascii="Times New Roman" w:hAnsi="Times New Roman"/>
          <w:sz w:val="28"/>
        </w:rPr>
        <w:t xml:space="preserve">В случае неисполнения обучающимся обязательств по </w:t>
      </w:r>
      <w:r>
        <w:rPr>
          <w:rFonts w:ascii="Times New Roman" w:hAnsi="Times New Roman"/>
          <w:sz w:val="28"/>
        </w:rPr>
        <w:t xml:space="preserve">целевому </w:t>
      </w:r>
      <w:r w:rsidRPr="00E32AF1">
        <w:rPr>
          <w:rFonts w:ascii="Times New Roman" w:hAnsi="Times New Roman"/>
          <w:sz w:val="28"/>
        </w:rPr>
        <w:t>обучению и (или) по осуществлению трудовой деятельности, установленной договором о целевом обучении</w:t>
      </w:r>
      <w:r>
        <w:rPr>
          <w:rFonts w:ascii="Times New Roman" w:hAnsi="Times New Roman"/>
          <w:sz w:val="28"/>
        </w:rPr>
        <w:t xml:space="preserve"> (далее – </w:t>
      </w:r>
      <w:r w:rsidRPr="00C01642">
        <w:rPr>
          <w:rFonts w:ascii="Times New Roman" w:hAnsi="Times New Roman"/>
          <w:sz w:val="28"/>
        </w:rPr>
        <w:t>лицо, не исполнившее обязательства по обучению и (или) по осуществлению трудовой деятельности</w:t>
      </w:r>
      <w:r>
        <w:rPr>
          <w:rFonts w:ascii="Times New Roman" w:hAnsi="Times New Roman"/>
          <w:sz w:val="28"/>
        </w:rPr>
        <w:t>)</w:t>
      </w:r>
      <w:r w:rsidRPr="00E32AF1">
        <w:rPr>
          <w:rFonts w:ascii="Times New Roman" w:hAnsi="Times New Roman"/>
          <w:sz w:val="28"/>
        </w:rPr>
        <w:t xml:space="preserve">, Министерство направляет </w:t>
      </w:r>
      <w:r w:rsidRPr="00C01642">
        <w:rPr>
          <w:rFonts w:ascii="Times New Roman" w:hAnsi="Times New Roman"/>
          <w:sz w:val="28"/>
        </w:rPr>
        <w:t xml:space="preserve">данному лицу </w:t>
      </w:r>
      <w:r w:rsidRPr="00E32AF1">
        <w:rPr>
          <w:rFonts w:ascii="Times New Roman" w:hAnsi="Times New Roman"/>
          <w:sz w:val="28"/>
        </w:rPr>
        <w:t>в месячный срок с даты расторжения договора о целевом обучении по адресу регистрации по месту жительства посредством почтового отправления уведомление в письменной форме с требованием возмещения в полном объеме за весь период целевого обучения расходов, связанных с предоставлением компенсационной выплаты, с приложением расчета указанных расходов.</w:t>
      </w:r>
      <w:r w:rsidRPr="0033138A">
        <w:rPr>
          <w:rFonts w:ascii="Times New Roman" w:hAnsi="Times New Roman"/>
          <w:sz w:val="28"/>
        </w:rPr>
        <w:t xml:space="preserve"> </w:t>
      </w:r>
    </w:p>
    <w:p w:rsidR="00A51B04" w:rsidRDefault="00A51B04" w:rsidP="00A51B0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 w:rsidRPr="00C01642">
        <w:rPr>
          <w:rFonts w:ascii="Times New Roman" w:hAnsi="Times New Roman"/>
          <w:sz w:val="28"/>
        </w:rPr>
        <w:t>Лицо, не исполнившее обязательства по обучению и (или) по осуществлению трудовой деятельности,</w:t>
      </w:r>
      <w:r w:rsidRPr="003313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получения уведомления возмещает Министерству расходы, связанные с предоставлением компенсационной выплаты, в срок, не превышающий 6 месяцев с даты расторжения договора о целевом обучении, путем перечисления денежных средств на лицевой счет Министерства.</w:t>
      </w:r>
    </w:p>
    <w:p w:rsidR="00A51B04" w:rsidRDefault="00A51B04" w:rsidP="00A51B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3138A">
        <w:rPr>
          <w:rFonts w:ascii="Times New Roman" w:hAnsi="Times New Roman"/>
          <w:sz w:val="28"/>
        </w:rPr>
        <w:t xml:space="preserve">18. В случае невыполнения </w:t>
      </w:r>
      <w:r w:rsidRPr="00E07BE5">
        <w:rPr>
          <w:rFonts w:ascii="Times New Roman" w:hAnsi="Times New Roman"/>
          <w:sz w:val="28"/>
        </w:rPr>
        <w:t>лицом, не исполнившим обязательства по обучению и (или) по осуществлению трудовой деятельности, требования</w:t>
      </w:r>
      <w:r w:rsidRPr="0033138A">
        <w:rPr>
          <w:rFonts w:ascii="Times New Roman" w:hAnsi="Times New Roman"/>
          <w:sz w:val="28"/>
        </w:rPr>
        <w:t xml:space="preserve"> возмещения расходов, связанных с предоставлением компенсационной выплаты, Министерство в течение 30 календарных дней после окончания срока, установленного частью 17 настоящего Положения, обеспечивает ее взыскание в судебном порядке в соответствии с законод</w:t>
      </w:r>
      <w:r>
        <w:rPr>
          <w:rFonts w:ascii="Times New Roman" w:hAnsi="Times New Roman"/>
          <w:sz w:val="28"/>
        </w:rPr>
        <w:t>ательством Российской Федерации.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Министерство осуществляет контроль </w:t>
      </w:r>
      <w:proofErr w:type="gramStart"/>
      <w:r>
        <w:rPr>
          <w:rFonts w:ascii="Times New Roman" w:hAnsi="Times New Roman"/>
          <w:sz w:val="28"/>
        </w:rPr>
        <w:t>за соблюдением</w:t>
      </w:r>
      <w:proofErr w:type="gramEnd"/>
      <w:r>
        <w:rPr>
          <w:rFonts w:ascii="Times New Roman" w:hAnsi="Times New Roman"/>
          <w:sz w:val="28"/>
        </w:rPr>
        <w:t xml:space="preserve"> обучающимся условий и порядка предоставления компенсационной выплаты.</w:t>
      </w:r>
    </w:p>
    <w:p w:rsidR="00A51B04" w:rsidRDefault="00A51B04" w:rsidP="00A51B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Министерство обеспечивает направление информации о факте предоставления компенсационной выплаты, а также о сроках и размере компенсационной выплаты посредством использования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единой государственной информационной системы социального обеспечения (далее – ЕГИССО)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A51B04" w:rsidRDefault="00A51B04" w:rsidP="00A51B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Информацию о факте предоставления компенсационной выплаты, а также о сроках и размере компенсационной выплаты обучающемуся может получить в личном кабинете в ЕГИССО.</w:t>
      </w:r>
    </w:p>
    <w:p w:rsidR="00A51B04" w:rsidRDefault="00A51B04" w:rsidP="00A51B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1B04" w:rsidRDefault="00A51B04" w:rsidP="00A51B04"/>
    <w:p w:rsidR="00FC2572" w:rsidRDefault="00FC2572"/>
    <w:sectPr w:rsidR="00FC2572" w:rsidSect="00A51B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67E3"/>
    <w:multiLevelType w:val="multilevel"/>
    <w:tmpl w:val="59CC5BC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2C"/>
    <w:rsid w:val="00023017"/>
    <w:rsid w:val="00A51B04"/>
    <w:rsid w:val="00B0502C"/>
    <w:rsid w:val="00E1026A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B494-7009-49A3-AF97-3EF8C6F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0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B04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A51B0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List Paragraph"/>
    <w:basedOn w:val="a"/>
    <w:link w:val="a4"/>
    <w:rsid w:val="00A51B0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A51B04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C53B6CB0B706B8F9C32BB4BB7666CD40A8EA1992EA094BA271E294A659AF200CAC4AC85661836336A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Шапорев Роман Александрович</cp:lastModifiedBy>
  <cp:revision>2</cp:revision>
  <dcterms:created xsi:type="dcterms:W3CDTF">2022-10-25T05:44:00Z</dcterms:created>
  <dcterms:modified xsi:type="dcterms:W3CDTF">2022-10-25T05:44:00Z</dcterms:modified>
</cp:coreProperties>
</file>