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5812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 6</w:t>
      </w:r>
    </w:p>
    <w:p w14:paraId="04000000">
      <w:pPr>
        <w:spacing w:after="0" w:line="240" w:lineRule="auto"/>
        <w:ind w:firstLine="0" w:left="9912"/>
        <w:jc w:val="right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Перечень основных нормативно-правовых актов,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основе которых разрабо</w:t>
      </w:r>
      <w:r>
        <w:rPr>
          <w:rFonts w:ascii="Times New Roman" w:hAnsi="Times New Roman"/>
          <w:b w:val="1"/>
          <w:sz w:val="28"/>
        </w:rPr>
        <w:t xml:space="preserve">тана региональная программа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18"/>
        </w:rPr>
      </w:pPr>
    </w:p>
    <w:p w14:paraId="09000000">
      <w:pPr>
        <w:spacing w:after="0" w:line="240" w:lineRule="auto"/>
        <w:ind w:firstLine="0" w:left="9912"/>
        <w:jc w:val="right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 </w:t>
      </w:r>
      <w:r>
        <w:rPr>
          <w:rFonts w:ascii="Times New Roman" w:hAnsi="Times New Roman"/>
          <w:sz w:val="28"/>
        </w:rPr>
        <w:t xml:space="preserve">Постановление Правительства Российской Федерации </w:t>
      </w:r>
      <w:r>
        <w:rPr>
          <w:rFonts w:ascii="Times New Roman" w:hAnsi="Times New Roman"/>
          <w:sz w:val="28"/>
        </w:rPr>
        <w:t>09.10.2019</w:t>
      </w:r>
      <w:r>
        <w:rPr>
          <w:rFonts w:ascii="Times New Roman" w:hAnsi="Times New Roman"/>
          <w:sz w:val="28"/>
        </w:rPr>
        <w:t xml:space="preserve"> № 1304 «Об утверждении принципов модернизации первичного звена здравоохранения Российской Федерации и Правил проведения экспертизы проектов региональных программ модернизации первичного звена здравоохранения, осуществления мониторинга и 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 реализацией региональных программ модернизации первичного звена здравоохранения», а также: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Статья 33 Федерального закона от 21.11.2011 № 323-ФЗ «Об основах охраны здоровья граждан в Российской Федерации»: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за течением беременности, формированию здорового образа жизни и санитарно-гигиеническому просвещению населения.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Организация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жительства, месту работы или учебы в определенных организациях, с учетом положений статьи 21 настоящего Федерального закона (выбор врача и медицинской организации).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Первичная медико-санитарная помощь оказывается в амбулаторных условиях и в условиях дневного стационара.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В целях оказания гражданам первичной медико-санитарной помощи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помощи, в структуре медицинских организаций могут создаваться подразделения медицинской помощи, оказывающие указанную помощь в неотложной форме.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15.05.2012 № 543н «Об утверждении Положения об организации оказания первичной медико-санитарной помощи взрослому населению», которым урегулированы: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виды участков и численность прикрепленного населения на участках; 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организации при медицинских организациях сети фельдшерско-акушерских пунктов и фельдшерских здравпунктов на селе в зависимости от численности населения и удаленности от другой медицинской организации, а также организации оказания первой помощи с привлечением одного из домовых хозяйств;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организации деятельности, рекомендуемые штатные нормативы и стандарты оснащения отдельных подразделений поликлиники (кабинет (отделение) доврачебной помощи, регистратура, отделение (кабинет) неотложной медицинской помощи, кабинет врача общей практики (семейного врача), мобильная медицинская бригада, поликлиники, дневной стационар), врачебной амбулатории, фельдшерско-акушерского пункта, фельдшерского здравпункта, центра (отделения) общей врачебной практики (семейной медицины).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01.12.2005 № 753 «Об оснащении диагностическим оборудованием амбулаторно-поликлинических и стационарно-поликлинических учреждений муниципальных образований».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Приказ Минздрава России от 07.03.2018 № 92н «Об утверждении Положения об организации оказания первичной медико-санитарной помощи детям», которым урегулированы: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рекомендуемая численность прикрепленных детей на участке (800 детей);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разделение медицинских организаций, оказывающих первичную медико-санитарную помощь детям: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первая группа - поликлиники, поликлинические отделения при центральных районных больницах и районных больницах, оказывающие первичную медико-санитарную помощь детям;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вторая группа - самостоятельные детские поликлиники, поликлинические отделения в составе городских поликлиник,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том числе детских больниц и центральных районных больниц, исполняющих функции межрайонных центров;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третья группа - самостоятельные консультативно-диагностические центры для детей, а также консультативно-диагностические центры и детские поликлиники (отделения) в структуре республиканских, краевых, областных, окружных, городских больниц;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организации деятельности, рекомендуемые штатные нормативы и стандарты оснащения кабинета врача-педиатра участкового, детской поликлиники (детского поликлинического отделения) - стандарт оснащения разграничен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уровням, детского консультативно-диагностического центра, дневного стационара детской поликлиники (детского поликлинического отделения).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 Совместный приказ Минздрава России № 345н, Минтруда России № 372н от 31.05.2019 «Об 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 общественных объединений, иных </w:t>
      </w:r>
      <w:r>
        <w:rPr>
          <w:rFonts w:ascii="Times New Roman" w:hAnsi="Times New Roman"/>
          <w:sz w:val="28"/>
        </w:rPr>
        <w:t>некоммерческих организаций, осуществляющих свою деятельность в сфере охраны здоровья» - определены требования к подразделениям, оказывающим паллиативную медицинскую помощь в амбулаторных условиях, в условиях дневного стационара, стационарных условиях.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 Статья 34 Федерального закона от 21.11.2011 № 323-ФЗ «Об основах охраны здоровья граждан в Российской Федерации»: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специализированная медицинская помощь оказывается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реабилитацию;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специализированная медицинская помощь оказывается в стационарных условиях и в условиях дневного стационара.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1.7. Порядки оказания медицинской помощи по профилям, заболеваниям или состояниям (группам заболеваний или состояний).  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Размещение медицинских организаций: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здравоохранения Российской Федерации от 27.02.2016 № 132н «Об утверждении Требований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населения»;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20.04.2018 № 182 «Об утверждении методических рекомендации о применении нормативов и норм ресурсной обеспеченности населения в сфере здравоохранения» - рекомендует разграничение медицинских организаций по уровням: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уровень - медицинские организации, оказывающие населению муниципального образования, на территории которого расположены: первичную медико-санитарную помощь и (или) паллиативную медицинскую помощь и (или) скорую, в том числе скорую специализированную, медицинскую помощь, и (или) специализированную (за исключением высокотехнологичной) медицинскую помощь;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второй уровень - 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(или) диспансеры (противотуберкулезные, психоневрологические, наркологические и иные);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третий уровень - медицинские организации, имеющие в своей структуре подразделения, оказывающие высокотехнологичную медицинскую помощь.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 Иные требования к организации оказания </w:t>
      </w:r>
      <w:r>
        <w:rPr>
          <w:rFonts w:ascii="Times New Roman" w:hAnsi="Times New Roman"/>
          <w:sz w:val="28"/>
        </w:rPr>
        <w:t>медицинской помощи</w:t>
      </w:r>
      <w:r>
        <w:rPr>
          <w:rFonts w:ascii="Times New Roman" w:hAnsi="Times New Roman"/>
          <w:sz w:val="28"/>
        </w:rPr>
        <w:t>: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1.9.1. Выбор врача и медицинской организации: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21 Федерального закона от 21.11.2011 № 323-ФЗ «Об основах охраны здоровья граждан в Российской Федерации»;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26.04.2012 № 406н «Об 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21.12.2012 № 1342н «Об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помощи».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1.9.2. Диспансеризация, профилактические осмотры: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риказ Минздрава России от 27.04.2021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404н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Порядка проведения профилактического медицинского осмотра и диспансеризации определенных групп взрослого н</w:t>
      </w:r>
      <w:r>
        <w:rPr>
          <w:rFonts w:ascii="Times New Roman" w:hAnsi="Times New Roman"/>
          <w:sz w:val="28"/>
        </w:rPr>
        <w:t>аселения»;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10.08.2017 № 514н «О Порядке проведения профилактических медицинских осмотров несовершеннолетних»;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риказ Минздрава России от 16.05.2019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организациях»;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ситуации»;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Минздрава России от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.04.20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№ 2</w:t>
      </w:r>
      <w:r>
        <w:rPr>
          <w:rFonts w:ascii="Times New Roman" w:hAnsi="Times New Roman"/>
          <w:sz w:val="28"/>
        </w:rPr>
        <w:t>75</w:t>
      </w:r>
      <w:r>
        <w:rPr>
          <w:rFonts w:ascii="Times New Roman" w:hAnsi="Times New Roman"/>
          <w:sz w:val="28"/>
        </w:rPr>
        <w:t xml:space="preserve">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приемную или патронатную семью».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1.9.3. </w:t>
      </w:r>
      <w:r>
        <w:rPr>
          <w:rFonts w:ascii="Times New Roman" w:hAnsi="Times New Roman"/>
          <w:sz w:val="28"/>
        </w:rPr>
        <w:t>Приказ Минздрава России от 05.11.2013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организациях», которым урегулированы:</w:t>
      </w:r>
    </w:p>
    <w:p w14:paraId="3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вопросы организации деятельности отделения организации медицинской помощи несовершеннолетним </w:t>
      </w:r>
      <w:r>
        <w:rPr>
          <w:rFonts w:ascii="Times New Roman" w:hAnsi="Times New Roman"/>
          <w:sz w:val="28"/>
        </w:rPr>
        <w:t>в образовательных организациях;</w:t>
      </w:r>
    </w:p>
    <w:p w14:paraId="3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рекомендуемые штатные нормативы медицинских работников и стандарт оснащения отделения организации медицинской помощи несовершеннолетним в образовательных организациях;  </w:t>
      </w:r>
    </w:p>
    <w:p w14:paraId="3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по организации деятельности врача по гигиене детей и подростков, медицинской сестры (фельдшера) отделения организации медицинской помощи несовершеннолетним в образовательных организациях.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.9.4. </w:t>
      </w:r>
      <w:r>
        <w:rPr>
          <w:rFonts w:ascii="Times New Roman" w:hAnsi="Times New Roman"/>
          <w:sz w:val="28"/>
        </w:rPr>
        <w:t xml:space="preserve">Приказ Минздрава России от 29.12.2020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1397н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Требований к структуре и содержанию тарифного соглашения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содержит коэффициенты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коэффициент первого уровня оказания медицинской помощи - для медицинских организаций и (или) структурных подразделений медицинских организаций, оказывающих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(или) скорую, в том числе скорую специализированную, медицинскую помощь;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коэффициент второго уровня оказания медицинской помощи - для медицинских организаций и (или) структурных подразделений медицинских организаций, имеющих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для специализированных больниц, больниц скорой медицинской помощи, центров, диспансеров;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коэффициент третьего уровня оказания медицинской помощи - для медицинских организаций и (или) структурных подразделений медицинских организаций, оказывающих населению высокотехнологичную медицинскую помощь.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1.9.5. </w:t>
      </w:r>
      <w:r>
        <w:rPr>
          <w:rFonts w:ascii="Times New Roman" w:hAnsi="Times New Roman"/>
          <w:sz w:val="28"/>
        </w:rPr>
        <w:t>Постановление Главного государственного сани</w:t>
      </w:r>
      <w:r>
        <w:rPr>
          <w:rFonts w:ascii="Times New Roman" w:hAnsi="Times New Roman"/>
          <w:sz w:val="28"/>
        </w:rPr>
        <w:t>тарного врача РФ от 24.12.2020 №</w:t>
      </w:r>
      <w:r>
        <w:rPr>
          <w:rFonts w:ascii="Times New Roman" w:hAnsi="Times New Roman"/>
          <w:sz w:val="28"/>
        </w:rPr>
        <w:t xml:space="preserve"> 44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санитарных правил СП 2.1.3678-20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</w:t>
      </w:r>
      <w:r>
        <w:rPr>
          <w:rFonts w:ascii="Times New Roman" w:hAnsi="Times New Roman"/>
          <w:sz w:val="28"/>
        </w:rPr>
        <w:t>лнение работ или оказание услуг»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в частности, утверждены требования </w:t>
      </w:r>
      <w:r>
        <w:rPr>
          <w:rFonts w:ascii="Times New Roman" w:hAnsi="Times New Roman"/>
          <w:sz w:val="28"/>
        </w:rPr>
        <w:t>к устройству</w:t>
      </w:r>
      <w:r>
        <w:rPr>
          <w:rFonts w:ascii="Times New Roman" w:hAnsi="Times New Roman"/>
          <w:sz w:val="28"/>
        </w:rPr>
        <w:t>, оборудованию и эксплуатации ФАП).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1.9.6. Федеральный закон Российской Федерации от 29.12.2004 № 190-ФЗ «Градостроительный кодекс Российской Федерации».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1.9.7. </w:t>
      </w:r>
      <w:r>
        <w:rPr>
          <w:rFonts w:ascii="Times New Roman" w:hAnsi="Times New Roman"/>
          <w:sz w:val="28"/>
        </w:rPr>
        <w:t>Свод правил «СП 42.13330.2016. Свод правил. Градостроительство. Планировка и застройка городских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сельских поселений. Актуализированная редакция СНиП 2.07.01-89*», утвержденный приказом Минстроя России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30.12.2016 № 1034/пр.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1.9.8. Свод правил «СП 319.1325800.2017. Свод правил. Здание и помещения медицинских организаций. Правила эксплуатации», утвержденный приказом Минстроя России от 18.02.2014 г. № 58пр.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1.9.9. Свод правил «СП 158.13330.2014. Свод правил. Здания и помещения медицинских организаций. Правила проектирования», утвержденный приказом Минстроя России от 18.02.2014 г. № 58пр.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1.9.10. Свод правил «СП 59.13330.2016. Свод правил. Доступность зданий и сооружений для маломобильных групп населения» утвержденный приказом Минстроя России от</w:t>
      </w:r>
      <w:r>
        <w:t xml:space="preserve"> </w:t>
      </w:r>
      <w:r>
        <w:rPr>
          <w:rFonts w:ascii="Times New Roman" w:hAnsi="Times New Roman"/>
          <w:sz w:val="28"/>
        </w:rPr>
        <w:t>14.11.2016 № 798пр.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1.9.11. СП 255.1325800.2016 «Здания и сооружения. Правила эксплуатации. Основные положения». 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1.10. Использование оборудования с дистанционной передачей данных: 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1.10.1. Дистанционное наблюдение за состоянием здоровья пациента осуществляется в соответствии с требованиями статьи 36.2 Федерального закона от 21 ноября 2011 г. № 323-ФЗ «Об основах охраны здоровья граждан в Российской Федерации» и приказа Минздрава России от 30 ноября 2017 г. № 965н «Об </w:t>
      </w:r>
      <w:r>
        <w:rPr>
          <w:rFonts w:ascii="Times New Roman" w:hAnsi="Times New Roman"/>
          <w:sz w:val="28"/>
        </w:rPr>
        <w:t>утверждении порядка организации и оказания медицинской помощи с применением телемедицинских технологий».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Постановление Правительства Камчатского края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.12.2019 № 54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2020 год и на плановый период 2021 и 2022 годов</w:t>
      </w:r>
      <w:r>
        <w:rPr>
          <w:rFonts w:ascii="Times New Roman" w:hAnsi="Times New Roman"/>
          <w:sz w:val="28"/>
        </w:rPr>
        <w:t>»;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Постановление Правительства </w:t>
      </w:r>
      <w:r>
        <w:rPr>
          <w:rFonts w:ascii="Times New Roman" w:hAnsi="Times New Roman"/>
          <w:sz w:val="28"/>
        </w:rPr>
        <w:t>Камчатского края от 29.12.2020 №</w:t>
      </w:r>
      <w:r>
        <w:rPr>
          <w:rFonts w:ascii="Times New Roman" w:hAnsi="Times New Roman"/>
          <w:sz w:val="28"/>
        </w:rPr>
        <w:t xml:space="preserve"> 549-П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2021 год и на пла</w:t>
      </w:r>
      <w:r>
        <w:rPr>
          <w:rFonts w:ascii="Times New Roman" w:hAnsi="Times New Roman"/>
          <w:sz w:val="28"/>
        </w:rPr>
        <w:t>новый период 2022 и 2023 годов».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Постановление Правительства Камчатского края от 27.12.2021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586-П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</w:t>
      </w:r>
      <w:r>
        <w:rPr>
          <w:rFonts w:ascii="Times New Roman" w:hAnsi="Times New Roman"/>
          <w:sz w:val="28"/>
        </w:rPr>
        <w:t>».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 xml:space="preserve">Постановление Правительства Камчатского края от 26.12.2022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720-П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2023 год и на пл</w:t>
      </w:r>
      <w:r>
        <w:rPr>
          <w:rFonts w:ascii="Times New Roman" w:hAnsi="Times New Roman"/>
          <w:sz w:val="28"/>
        </w:rPr>
        <w:t>ановый период 2024 и 2025 годов».</w:t>
      </w:r>
      <w:bookmarkStart w:id="1" w:name="_GoBack"/>
      <w:bookmarkEnd w:id="1"/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Распоряжение </w:t>
      </w:r>
      <w:r>
        <w:rPr>
          <w:rFonts w:ascii="Times New Roman" w:hAnsi="Times New Roman"/>
          <w:sz w:val="28"/>
        </w:rPr>
        <w:t xml:space="preserve">Правительства Камчатского края от 09.01.2020 № 1-РП </w:t>
      </w:r>
      <w:r>
        <w:rPr>
          <w:rFonts w:ascii="Times New Roman" w:hAnsi="Times New Roman"/>
          <w:sz w:val="28"/>
        </w:rPr>
        <w:t>«Об образовании рабочей группы по разработке и реализации региональной программы модернизации первичного звена здравоохранения Камчатского края в составе согласно приложению»</w:t>
      </w:r>
      <w:r>
        <w:rPr>
          <w:rFonts w:ascii="Times New Roman" w:hAnsi="Times New Roman"/>
          <w:sz w:val="28"/>
        </w:rPr>
        <w:t>.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ooter"/>
    <w:basedOn w:val="Style_2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2023-06-22T06:31:12Z</dcterms:modified>
</cp:coreProperties>
</file>