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Приложение №1 </w:t>
      </w:r>
    </w:p>
    <w:p w14:paraId="04000000">
      <w:pPr>
        <w:spacing w:after="0" w:line="240" w:lineRule="auto"/>
        <w:ind w:firstLine="851" w:left="0"/>
        <w:jc w:val="center"/>
        <w:rPr>
          <w:rFonts w:ascii="Times New Roman" w:hAnsi="Times New Roman"/>
          <w:color w:val="000000"/>
          <w:sz w:val="28"/>
        </w:rPr>
      </w:pPr>
    </w:p>
    <w:p w14:paraId="05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Паспорт</w:t>
      </w:r>
    </w:p>
    <w:p w14:paraId="06000000">
      <w:pPr>
        <w:spacing w:after="0" w:line="240" w:lineRule="auto"/>
        <w:ind w:firstLine="0" w:left="720"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региональной программы Камчатского края</w:t>
      </w:r>
    </w:p>
    <w:p w14:paraId="07000000">
      <w:pPr>
        <w:spacing w:after="0" w:line="240" w:lineRule="auto"/>
        <w:ind w:firstLine="0" w:left="720"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«Модернизация первичного звена здравоохранения Камчатского края»</w:t>
      </w:r>
    </w:p>
    <w:p w14:paraId="08000000">
      <w:pPr>
        <w:spacing w:after="0" w:line="240" w:lineRule="auto"/>
        <w:ind w:firstLine="0" w:left="720"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(далее – региональная программа)</w:t>
      </w:r>
    </w:p>
    <w:p w14:paraId="09000000">
      <w:pPr>
        <w:widowControl w:val="0"/>
        <w:spacing w:after="0" w:line="360" w:lineRule="auto"/>
        <w:ind w:firstLine="0" w:left="720"/>
        <w:contextualSpacing w:val="1"/>
        <w:outlineLvl w:val="1"/>
        <w:rPr>
          <w:rFonts w:ascii="Times New Roman" w:hAnsi="Times New Roman"/>
          <w:b w:val="1"/>
          <w:sz w:val="28"/>
        </w:rPr>
      </w:pPr>
    </w:p>
    <w:tbl>
      <w:tblPr>
        <w:tblStyle w:val="Style_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2763"/>
        <w:gridCol w:w="367"/>
        <w:gridCol w:w="7075"/>
      </w:tblGrid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Сроки реализации региональной программы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2021–2025 годы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 региональной программы 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Правительство Камчатского края</w:t>
            </w:r>
          </w:p>
        </w:tc>
      </w:tr>
      <w:tr>
        <w:trPr>
          <w:trHeight w:hRule="atLeast" w:val="3830"/>
        </w:trP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региональной программы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здравоохранения Камчатского края;</w:t>
            </w:r>
          </w:p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строительства и жилищной политики Камчатского края;</w:t>
            </w:r>
          </w:p>
          <w:p w14:paraId="1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по делам местного самоуправления и развитию Корякского округа Камчатского края;</w:t>
            </w:r>
          </w:p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Министерства транспорта и дорожного строительства Камчатского края;</w:t>
            </w:r>
          </w:p>
          <w:p w14:paraId="1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Министерство имущественных и земельных отношений Камчатского края;</w:t>
            </w:r>
          </w:p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Территориальный Фонд обязательного медицинского страхования Камчатского края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государственной программы Камчатского края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государственная программа Камчатского края «Развитие здравоохранения Камчатского края», утвержденная постановлением Правительства Камчатского края от 29.11.2013 № 524-П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Реквизиты документа, которым утверждена региональная программа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Распоряжение Правительства Камчатского края от 15.12.2020 № 622-РП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региональной программы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ц</w:t>
            </w:r>
            <w:r>
              <w:rPr>
                <w:rFonts w:ascii="Times New Roman" w:hAnsi="Times New Roman"/>
                <w:b w:val="1"/>
                <w:sz w:val="28"/>
              </w:rPr>
              <w:t>ел</w:t>
            </w:r>
            <w:r>
              <w:rPr>
                <w:rFonts w:ascii="Times New Roman" w:hAnsi="Times New Roman"/>
                <w:b w:val="1"/>
                <w:sz w:val="28"/>
              </w:rPr>
              <w:t xml:space="preserve">ь 1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 до 50 тыс. человек;</w:t>
            </w:r>
          </w:p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цель 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приоритета интересов пациента при оказании первичной медико-санитарной помощи;</w:t>
            </w:r>
          </w:p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цель 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соблюдения прав граждан при оказании первичной </w:t>
            </w:r>
            <w:r>
              <w:rPr>
                <w:rFonts w:ascii="Times New Roman" w:hAnsi="Times New Roman"/>
                <w:sz w:val="28"/>
              </w:rPr>
              <w:t>медико</w:t>
            </w:r>
            <w:r>
              <w:rPr>
                <w:rFonts w:ascii="Times New Roman" w:hAnsi="Times New Roman"/>
                <w:sz w:val="28"/>
              </w:rPr>
              <w:t xml:space="preserve"> – санитарной помощи и обеспечение связанных с этими правами государственных гарантий;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цель 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приоритета профилактики при оказании первичной медико-санитарной помощи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региональной программы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помощи;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здоровья;</w:t>
            </w: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здоровья;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устранение дефицита кадров в первичном звене здравоохранения и повышение уровня их квалификации, в том числе в целях обеспечения возможности выбора медицинской организации и врача;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обеспечение потребности в дорогостоящих диагностических исследованиях, проводимых в амбулаторных условиях, и выделение их из </w:t>
            </w:r>
            <w:r>
              <w:rPr>
                <w:rFonts w:ascii="Times New Roman" w:hAnsi="Times New Roman"/>
                <w:sz w:val="28"/>
              </w:rPr>
              <w:t>подушевого</w:t>
            </w:r>
            <w:r>
              <w:rPr>
                <w:rFonts w:ascii="Times New Roman" w:hAnsi="Times New Roman"/>
                <w:sz w:val="28"/>
              </w:rPr>
              <w:t xml:space="preserve"> норматива финансирования оказания первичной медико-санитарной помощи;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введение коэффициентов дифференциации для </w:t>
            </w:r>
            <w:r>
              <w:rPr>
                <w:rFonts w:ascii="Times New Roman" w:hAnsi="Times New Roman"/>
                <w:sz w:val="28"/>
              </w:rPr>
              <w:t>подушевого</w:t>
            </w:r>
            <w:r>
              <w:rPr>
                <w:rFonts w:ascii="Times New Roman" w:hAnsi="Times New Roman"/>
                <w:sz w:val="28"/>
              </w:rPr>
              <w:t xml:space="preserve"> норматива финансирования на прикрепившихся лиц для медицинских организаций, расположенных в сельской местности, рабочих поселках, поселках городского типа и малых городах;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создание механизма мотивации руководителей и медицинских работников медицинских организаций первичного звена здравоохранения с учетом степени соответствия медицинской организации статусу медицинской организации, внедряющей новую модель оказания гражданам первичной медико-санитарной помощи;</w:t>
            </w:r>
          </w:p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разработка и утверждение территориальных программ государственных гарантий бесплатного оказания гражданам медицинской помощи с учетом результатов реализации мероприятий региональной программы;</w:t>
            </w:r>
          </w:p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9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реализация мероприятий пилотного проекта </w:t>
            </w:r>
            <w:r>
              <w:rPr>
                <w:rFonts w:ascii="Times New Roman" w:hAnsi="Times New Roman"/>
                <w:sz w:val="28"/>
              </w:rPr>
              <w:t>по вовлечению частных медицинских организаций в оказание медико-социальных услуг лицам в возрасте 65 лет и старше;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задача 10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профилактика осложнений сердечно-сосудистых заболеваний у пациентов высокого риска путем обеспечения лекарственными препаратами граждан, которые перенесли острое нарушение мозгового кровообращения, инфаркт миокарда и другие острые сердечно-сосудистые заболевания или операции на сосудах и которые получают медицинскую помощь в амбулаторных условиях.</w:t>
            </w:r>
          </w:p>
        </w:tc>
      </w:tr>
      <w:tr>
        <w:tc>
          <w:tcPr>
            <w:tcW w:type="dxa" w:w="2763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Параметры финансового обеспечения реализации региональной программы</w:t>
            </w:r>
          </w:p>
        </w:tc>
        <w:tc>
          <w:tcPr>
            <w:tcW w:type="dxa" w:w="36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7075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консолидированный бюджет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013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891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 900 841,1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050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2021 году </w:t>
            </w:r>
            <w:r>
              <w:rPr>
                <w:rFonts w:ascii="Times New Roman" w:hAnsi="Times New Roman"/>
                <w:sz w:val="28"/>
              </w:rPr>
              <w:t xml:space="preserve">– 862 595,4  </w:t>
            </w:r>
            <w:r>
              <w:rPr>
                <w:rFonts w:ascii="Times New Roman" w:hAnsi="Times New Roman"/>
                <w:sz w:val="28"/>
              </w:rPr>
              <w:t xml:space="preserve">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 xml:space="preserve"> 843 058,6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19 536,8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3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</w:rPr>
              <w:t xml:space="preserve">– 1 115 780,1  </w:t>
            </w:r>
            <w:r>
              <w:rPr>
                <w:rFonts w:ascii="Times New Roman" w:hAnsi="Times New Roman"/>
                <w:sz w:val="28"/>
              </w:rPr>
              <w:t xml:space="preserve">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>1 090 644,8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25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135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2023 году </w:t>
            </w:r>
            <w:r>
              <w:rPr>
                <w:rFonts w:ascii="Times New Roman" w:hAnsi="Times New Roman"/>
                <w:sz w:val="28"/>
              </w:rPr>
              <w:t xml:space="preserve">– 867 290,4  </w:t>
            </w:r>
            <w:r>
              <w:rPr>
                <w:rFonts w:ascii="Times New Roman" w:hAnsi="Times New Roman"/>
                <w:sz w:val="28"/>
              </w:rPr>
              <w:t xml:space="preserve">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>847 753,6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19 536,8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</w:rPr>
              <w:t xml:space="preserve">– 867 290,4  </w:t>
            </w:r>
            <w:r>
              <w:rPr>
                <w:rFonts w:ascii="Times New Roman" w:hAnsi="Times New Roman"/>
                <w:sz w:val="28"/>
              </w:rPr>
              <w:t xml:space="preserve">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>847 753,6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19 536,8</w:t>
            </w:r>
            <w:r>
              <w:rPr>
                <w:rFonts w:ascii="Times New Roman" w:hAnsi="Times New Roman"/>
                <w:sz w:val="28"/>
              </w:rPr>
              <w:t xml:space="preserve"> тыс. рублей;</w:t>
            </w:r>
          </w:p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</w:rPr>
              <w:t xml:space="preserve">– 1 300 935,6  </w:t>
            </w:r>
            <w:r>
              <w:rPr>
                <w:rFonts w:ascii="Times New Roman" w:hAnsi="Times New Roman"/>
                <w:sz w:val="28"/>
              </w:rPr>
              <w:t xml:space="preserve">тыс. рублей; средства </w:t>
            </w:r>
            <w:r>
              <w:rPr>
                <w:rFonts w:ascii="Times New Roman" w:hAnsi="Times New Roman"/>
                <w:sz w:val="28"/>
              </w:rPr>
              <w:t xml:space="preserve">федерального бюджета: – </w:t>
            </w:r>
            <w:r>
              <w:rPr>
                <w:rFonts w:ascii="Times New Roman" w:hAnsi="Times New Roman"/>
                <w:sz w:val="28"/>
              </w:rPr>
              <w:t>1 271 630,4</w:t>
            </w:r>
            <w:r>
              <w:rPr>
                <w:rFonts w:ascii="Times New Roman" w:hAnsi="Times New Roman"/>
                <w:sz w:val="28"/>
              </w:rPr>
              <w:t xml:space="preserve"> тыс. рублей, средства краевого бюджета </w:t>
            </w:r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8"/>
              </w:rPr>
              <w:t>29 305,2</w:t>
            </w:r>
            <w:r>
              <w:rPr>
                <w:rFonts w:ascii="Times New Roman" w:hAnsi="Times New Roman"/>
                <w:sz w:val="28"/>
              </w:rPr>
              <w:t xml:space="preserve"> тыс. рублей.</w:t>
            </w:r>
          </w:p>
        </w:tc>
      </w:tr>
    </w:tbl>
    <w:p w14:paraId="38000000">
      <w:pPr>
        <w:spacing w:after="0" w:line="240" w:lineRule="auto"/>
        <w:ind/>
        <w:jc w:val="right"/>
        <w:rPr>
          <w:rFonts w:ascii="Times New Roman" w:hAnsi="Times New Roman"/>
          <w:b w:val="1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rFonts w:ascii="Calibri" w:hAnsi="Calibri"/>
    </w:rPr>
  </w:style>
  <w:style w:default="1" w:styleId="Style_3_ch" w:type="character">
    <w:name w:val="Normal"/>
    <w:link w:val="Style_3"/>
    <w:rPr>
      <w:rFonts w:ascii="Calibri" w:hAnsi="Calibri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footer"/>
    <w:basedOn w:val="Style_3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3_ch"/>
    <w:link w:val="Style_17"/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2023-06-30T03:22:58Z</dcterms:modified>
</cp:coreProperties>
</file>