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внесению изменений в региональную программу Камчатского края «Модернизация первичного звена здравоохранения Камчатского края», утвержденную распоряжением Правительства Камчатского края 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15.12.2020 № 622-РП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основании методических рекомендаций по разработке рекомендаций по разработке региональных программ модернизации первичного звена здравоохранения, направленных Министерством здравоохранения Российской Федерации, необходимо внести изменения в распоряжение</w:t>
      </w:r>
      <w:r>
        <w:rPr>
          <w:rFonts w:ascii="Times New Roman" w:hAnsi="Times New Roman"/>
          <w:sz w:val="28"/>
        </w:rPr>
        <w:t xml:space="preserve"> Правительства Камчатского края от 15.12.2020 № 622-РП (далее – Региональная программа).</w:t>
      </w:r>
    </w:p>
    <w:p w14:paraId="0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Проектом распоряжения Правительства Камчатского края, предлагается внести изменения в части корректировки мероприятий и ресурсного обеспечения, без изменений общих объемов финансирования по годам.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Изменение количества </w:t>
      </w:r>
      <w:r>
        <w:rPr>
          <w:rFonts w:ascii="Times New Roman" w:hAnsi="Times New Roman"/>
          <w:sz w:val="28"/>
        </w:rPr>
        <w:t>объектов/единиц и объемов финансирования мероприятий отражено в таблицах 1 и 2 к пояснительной записке.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информирования населения планируемые и</w:t>
      </w:r>
      <w:r>
        <w:rPr>
          <w:rFonts w:ascii="Times New Roman" w:hAnsi="Times New Roman"/>
          <w:sz w:val="28"/>
        </w:rPr>
        <w:t xml:space="preserve">зменения размещены на официальном сайте Правительства Камчатского края </w:t>
      </w:r>
      <w:r>
        <w:rPr>
          <w:rStyle w:val="Style_2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</w:rPr>
        <w:instrText>HYPERLINK "https://www.kamgov.ru/minzdrav/document/frontend-document/index-project" \o "https://www.kamgov.ru/minzdrav/document/frontend-document/index-project"</w:instrText>
      </w:r>
      <w:r>
        <w:rPr>
          <w:rStyle w:val="Style_2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</w:rPr>
        <w:t>https://www.kamgov.ru/minzdrav/document/frontend-document/index-project</w:t>
      </w:r>
      <w:r>
        <w:rPr>
          <w:rStyle w:val="Style_2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>
        <w:rPr>
          <w:rStyle w:val="Style_2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2_ch"/>
          <w:rFonts w:ascii="Times New Roman" w:hAnsi="Times New Roman"/>
          <w:color w:val="000000"/>
          <w:sz w:val="28"/>
        </w:rPr>
        <w:instrText>HYPERLINK "https://www.kamgov.ru/minzdrav/regionalnaa-programma-modernizacia-pervicnogo-zvena-zdravoohranenia-kamcatskogo-kraa" \o "https://www.kamgov.ru/minzdrav/regionalnaa-programma-modernizacia-pervicnogo-zvena-zdravoohranenia-kamcatskogo-kraa"</w:instrText>
      </w:r>
      <w:r>
        <w:rPr>
          <w:rStyle w:val="Style_2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2_ch"/>
          <w:rFonts w:ascii="Times New Roman" w:hAnsi="Times New Roman"/>
          <w:color w:val="000000"/>
          <w:sz w:val="28"/>
        </w:rPr>
        <w:t>https://www.kamgov.ru/minzdrav/regionalnaa-programma-modernizacia-pervicnogo-zvena-zdravoohranenia-kamcatskogo-kraa</w:t>
      </w:r>
      <w:r>
        <w:rPr>
          <w:rStyle w:val="Style_2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>. Обращения от населения не поступал</w:t>
      </w:r>
      <w:r>
        <w:rPr>
          <w:rFonts w:ascii="Times New Roman" w:hAnsi="Times New Roman"/>
          <w:sz w:val="28"/>
        </w:rPr>
        <w:t xml:space="preserve">и. 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0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мероприятию 1 </w:t>
      </w:r>
      <w:r>
        <w:rPr>
          <w:rFonts w:ascii="Times New Roman" w:hAnsi="Times New Roman"/>
          <w:sz w:val="28"/>
        </w:rPr>
        <w:t>«Осуществление нового строительства (его разрешение), замены зданий в случае высокой степени износа, наличия избыточных площадей медиц</w:t>
      </w:r>
      <w:r>
        <w:rPr>
          <w:rFonts w:ascii="Times New Roman" w:hAnsi="Times New Roman"/>
          <w:sz w:val="28"/>
        </w:rPr>
        <w:t>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 отделения (центры) врача общей практики, фельдшерско-акушерские и фельдш</w:t>
      </w:r>
      <w:r>
        <w:rPr>
          <w:rFonts w:ascii="Times New Roman" w:hAnsi="Times New Roman"/>
          <w:sz w:val="28"/>
        </w:rPr>
        <w:t xml:space="preserve">ерские пункты), а также зданий (отдельных зданий, комплексов зданий) центральных и районных больниц». </w:t>
      </w:r>
    </w:p>
    <w:p w14:paraId="0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степени износа зданий региональной программой утвержден 21 объект на сумму </w:t>
      </w:r>
      <w:r>
        <w:rPr>
          <w:rFonts w:ascii="Times New Roman" w:hAnsi="Times New Roman"/>
          <w:sz w:val="28"/>
        </w:rPr>
        <w:t>3 590,05</w:t>
      </w:r>
      <w:r>
        <w:rPr>
          <w:rFonts w:ascii="Times New Roman" w:hAnsi="Times New Roman"/>
          <w:sz w:val="28"/>
        </w:rPr>
        <w:t xml:space="preserve"> млн рублей, из них:</w:t>
      </w:r>
    </w:p>
    <w:p w14:paraId="1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8 объектов, из которых 3 объ</w:t>
      </w:r>
      <w:r>
        <w:rPr>
          <w:rFonts w:ascii="Times New Roman" w:hAnsi="Times New Roman"/>
          <w:sz w:val="28"/>
        </w:rPr>
        <w:t>екта переходящие, на сумму 320,47 млн рублей, ввод в эксплуатацию 3 объектов;</w:t>
      </w:r>
    </w:p>
    <w:p w14:paraId="1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2022 году 10 объектов, из которых 2 объекта являются переходящими, на сумму 899,89 млн рублей, ввод в эксплуатацию 6 объектов; </w:t>
      </w:r>
    </w:p>
    <w:p w14:paraId="1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4 объектов, из которых 2 объекта будут</w:t>
      </w:r>
      <w:r>
        <w:rPr>
          <w:rFonts w:ascii="Times New Roman" w:hAnsi="Times New Roman"/>
          <w:sz w:val="28"/>
        </w:rPr>
        <w:t xml:space="preserve"> переходящими, на сумму 459,11 млн рублей, ввод в эксплуатацию 2 объектов;</w:t>
      </w:r>
    </w:p>
    <w:p w14:paraId="1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7 объектов, из которых 5 объекта переходящие, на сумму 660,67 млн рублей, ввод в эксплуатацию 2 объектов;</w:t>
      </w:r>
    </w:p>
    <w:p w14:paraId="1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8 объектов на сумму 1 249,90 млн рублей, ввод в экспл</w:t>
      </w:r>
      <w:r>
        <w:rPr>
          <w:rFonts w:ascii="Times New Roman" w:hAnsi="Times New Roman"/>
          <w:sz w:val="28"/>
        </w:rPr>
        <w:t>уатацию 8 объектов.</w:t>
      </w:r>
    </w:p>
    <w:p w14:paraId="1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программы планируются изменения:</w:t>
      </w:r>
    </w:p>
    <w:p w14:paraId="1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>Строительство предлагаем предусмотреть 18 объектов на сумму 3 386,92</w:t>
      </w:r>
      <w:r>
        <w:rPr>
          <w:rFonts w:ascii="Times New Roman" w:hAnsi="Times New Roman"/>
          <w:sz w:val="28"/>
        </w:rPr>
        <w:t xml:space="preserve"> млн рублей, из них:</w:t>
      </w:r>
    </w:p>
    <w:p w14:paraId="1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8 объектов, из которых 3 объекта переходящие, на сумму 320,47 млн рублей, ввод в эксплуатацию 3 объектов;</w:t>
      </w:r>
    </w:p>
    <w:p w14:paraId="1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10 объектов, из которых 2 объекта являются переходящими, на сум</w:t>
      </w:r>
      <w:r>
        <w:rPr>
          <w:rFonts w:ascii="Times New Roman" w:hAnsi="Times New Roman"/>
          <w:sz w:val="28"/>
        </w:rPr>
        <w:t xml:space="preserve">му 899,89 млн рублей, ввод в эксплуатацию 6 объектов; </w:t>
      </w:r>
    </w:p>
    <w:p w14:paraId="1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4 объектов, из которых 2 объекта будут переходящими, на сумму 459,11 млн рублей, ввод в эксплуатацию 2 объектов;</w:t>
      </w:r>
    </w:p>
    <w:p w14:paraId="1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6 объектов, из которых 4 объектов переходящие, на сумму 489,03</w:t>
      </w:r>
      <w:r>
        <w:rPr>
          <w:rFonts w:ascii="Times New Roman" w:hAnsi="Times New Roman"/>
          <w:sz w:val="28"/>
        </w:rPr>
        <w:t xml:space="preserve"> млн рублей, ввод в эксплуатацию 2 объектов;</w:t>
      </w:r>
    </w:p>
    <w:p w14:paraId="1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5 объекта на сумму 1 218,42 млн рублей, ввод в эксплуатацию 5 объектов.</w:t>
      </w:r>
    </w:p>
    <w:p w14:paraId="1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ускоренной реализацией мероприятий региональной программы в части переноса сроков реализации с 2025 года на 2024 год и в связи с обследованием объектов специализированными организациями предлагаем в данное мероприятие внести следующие изменения:</w:t>
      </w:r>
    </w:p>
    <w:p w14:paraId="1D000000">
      <w:pPr>
        <w:numPr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Объект «</w:t>
      </w:r>
      <w:r>
        <w:rPr>
          <w:rFonts w:ascii="Times New Roman" w:hAnsi="Times New Roman"/>
          <w:b w:val="1"/>
          <w:sz w:val="28"/>
        </w:rPr>
        <w:t>Фельдшерско-акушерский пункт. Камчатский край, Тигильский муниципальный район, с. Ковран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строительство которого предусмотрено в 2025 году предлагаем перенести в мероприятие по осуществлению капитального ремонта в 2024 году, предусмотрев объем финансирования 14,19 млн рублей, в том числе средства федерального бюджета 13,87 млн рублей. Предлагаем и</w:t>
      </w:r>
      <w:r>
        <w:rPr>
          <w:rFonts w:ascii="Times New Roman" w:hAnsi="Times New Roman"/>
          <w:sz w:val="28"/>
        </w:rPr>
        <w:t>сключить объект из мероприятия «Осуществление нового строительства» по причине проведенного обследования здания специализированной организацией ООО  «Актив Проект». Техническое заключение по результатам обследование прилагаем к настоящей пояснительной записке.</w:t>
      </w:r>
    </w:p>
    <w:p w14:paraId="1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Фельдшерско-акушерский пункт. Камчатский край, Тигильский муниципальный район, с. Ковран </w:t>
      </w:r>
      <w:r>
        <w:rPr>
          <w:rFonts w:ascii="Times New Roman" w:hAnsi="Times New Roman"/>
          <w:sz w:val="28"/>
        </w:rPr>
        <w:t>располагается в приспособленном помещении, процент износа об</w:t>
      </w:r>
      <w:r>
        <w:rPr>
          <w:rFonts w:ascii="Times New Roman" w:hAnsi="Times New Roman"/>
          <w:sz w:val="28"/>
        </w:rPr>
        <w:t>ъекта составляет 60,36%. Техническая характеристика здания: 1971 год постройки здания, занимаемая площадь – 228 кв. м. В процессе эксплуатации периодически проводятся текущие ремонты,</w:t>
      </w:r>
      <w:r>
        <w:rPr>
          <w:rFonts w:ascii="Times New Roman" w:hAnsi="Times New Roman"/>
          <w:sz w:val="28"/>
        </w:rPr>
        <w:t xml:space="preserve"> здание поддерживается в рабочем состоянии в соответствии с требованиями соблюдения установленных санитарных норм и правил эксплуатации, здание требует капитального ремонта.</w:t>
      </w:r>
    </w:p>
    <w:p w14:paraId="1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Медицинская помощь жителям с. Ковран оказывается в полном объеме в действующем фел</w:t>
      </w:r>
      <w:r>
        <w:rPr>
          <w:rFonts w:ascii="Times New Roman" w:hAnsi="Times New Roman"/>
          <w:sz w:val="28"/>
        </w:rPr>
        <w:t>ьдшерско-акушерском пункте и внесенные изменения не повлияют на качество и доступность медицинской помощи.</w:t>
      </w:r>
    </w:p>
    <w:p w14:paraId="2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 перенести результат по строительству объекта с 2025 год на результат по осуществлению капитального ремонта в 2024 году.</w:t>
      </w:r>
    </w:p>
    <w:p w14:paraId="2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22000000">
      <w:pPr>
        <w:numPr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Объ</w:t>
      </w:r>
      <w:r>
        <w:rPr>
          <w:rFonts w:ascii="Times New Roman" w:hAnsi="Times New Roman"/>
          <w:b w:val="1"/>
          <w:sz w:val="28"/>
        </w:rPr>
        <w:t xml:space="preserve">ект «Отделение общей врачебной практики (семейной медицины). Камчатский край,Тигильский муниципальный район, с. Седанка» </w:t>
      </w:r>
      <w:r>
        <w:rPr>
          <w:rFonts w:ascii="Times New Roman" w:hAnsi="Times New Roman"/>
          <w:b w:val="0"/>
          <w:sz w:val="28"/>
        </w:rPr>
        <w:t>предлагаем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перенести из мероприятия по строительству в 2025 году в мероприятие по осуществлению капитального ремонта в 2024 году, предусмотрев объ</w:t>
      </w:r>
      <w:r>
        <w:rPr>
          <w:rFonts w:ascii="Times New Roman" w:hAnsi="Times New Roman"/>
          <w:sz w:val="28"/>
        </w:rPr>
        <w:t xml:space="preserve">ем финансирования 14,10 млн рублей, в том числе средства федерального бюджета 13,78 млн рублей.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Предлагаем и</w:t>
      </w:r>
      <w:r>
        <w:rPr>
          <w:rFonts w:ascii="Times New Roman" w:hAnsi="Times New Roman"/>
          <w:sz w:val="28"/>
        </w:rPr>
        <w:t>сключить объект из мероприятия «Осуществление нового строительства» по причине проведенного обследования здания специализированной организацией ООО  «Актив Проект». Техническое заключение по результатам обследование прилагаем к настоящей пояснительной записке.</w:t>
      </w:r>
    </w:p>
    <w:p w14:paraId="2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Отделение общей врачебной практики (семейной медицины). Камчатский край, Тигильский муниципальный район, с. Седанка, располагается в приспособленном поме</w:t>
      </w:r>
      <w:r>
        <w:rPr>
          <w:rFonts w:ascii="Times New Roman" w:hAnsi="Times New Roman"/>
          <w:sz w:val="28"/>
        </w:rPr>
        <w:t xml:space="preserve">щении, процент износа  составляет 52,1%. </w:t>
      </w:r>
      <w:r>
        <w:rPr>
          <w:rFonts w:ascii="Times New Roman" w:hAnsi="Times New Roman"/>
          <w:sz w:val="28"/>
        </w:rPr>
        <w:t xml:space="preserve">Техническая характеристика </w:t>
      </w:r>
      <w:r>
        <w:rPr>
          <w:rFonts w:ascii="Times New Roman" w:hAnsi="Times New Roman"/>
          <w:sz w:val="28"/>
        </w:rPr>
        <w:t>здания: 1971 год постройки жилого дома, занимаемая площадь – 158,5 кв. м. В процессе эксплуатации периодически проводятся текущие ремонты, здание поддерживается в рабочем состоянии в соответствии с требованиями соблюдения установленных санитарных норм и пр</w:t>
      </w:r>
      <w:r>
        <w:rPr>
          <w:rFonts w:ascii="Times New Roman" w:hAnsi="Times New Roman"/>
          <w:sz w:val="28"/>
        </w:rPr>
        <w:t>авил эксплуатации, здание требует капитального ремонта.</w:t>
      </w:r>
    </w:p>
    <w:p w14:paraId="2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Медицинская помощь жителям с. Седанка оказывается в полном объеме в действующем </w:t>
      </w:r>
      <w:r>
        <w:rPr>
          <w:rFonts w:ascii="Times New Roman" w:hAnsi="Times New Roman"/>
          <w:b w:val="0"/>
          <w:sz w:val="28"/>
        </w:rPr>
        <w:t>отделении общей врачебной практики (семейной медицины)</w:t>
      </w:r>
      <w:r>
        <w:rPr>
          <w:rFonts w:ascii="Times New Roman" w:hAnsi="Times New Roman"/>
          <w:sz w:val="28"/>
        </w:rPr>
        <w:t xml:space="preserve"> и внесенные изменения не повлияют на качество и доступность медицинской помощи.</w:t>
      </w:r>
    </w:p>
    <w:p w14:paraId="2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</w:t>
      </w:r>
      <w:r>
        <w:rPr>
          <w:rFonts w:ascii="Times New Roman" w:hAnsi="Times New Roman"/>
          <w:sz w:val="28"/>
        </w:rPr>
        <w:t xml:space="preserve"> перенести результат по строительству объекта с 2025 год на мероприятие по осуществлению капитального ремонта в 2024 году.</w:t>
      </w:r>
    </w:p>
    <w:p w14:paraId="2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Объект «Никольская районная больница»</w:t>
      </w:r>
      <w:r>
        <w:rPr>
          <w:rFonts w:ascii="Times New Roman" w:hAnsi="Times New Roman"/>
          <w:sz w:val="28"/>
        </w:rPr>
        <w:t xml:space="preserve"> перенести из мероприятия по строительству в 2025 году в мероприятие по осуществл</w:t>
      </w:r>
      <w:r>
        <w:rPr>
          <w:rFonts w:ascii="Times New Roman" w:hAnsi="Times New Roman"/>
          <w:sz w:val="28"/>
        </w:rPr>
        <w:t xml:space="preserve">ению капитального ремонта в 2024 году,  предусмотрев объем финансирования 110,61 млн рублей, в том числе средства федерального бюджета 108,12 млн рублей. </w:t>
      </w:r>
    </w:p>
    <w:p w14:paraId="2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Никольская районная больница, Алеутский район, с. Никольское располагается в приспособленном помеще</w:t>
      </w:r>
      <w:r>
        <w:rPr>
          <w:rFonts w:ascii="Times New Roman" w:hAnsi="Times New Roman"/>
          <w:sz w:val="28"/>
        </w:rPr>
        <w:t>нии, процент износа  составляет 80 % (Акт обследования технического состояния здания здания прилагается). Предлагаем исключить объект из мероприятия «Осуществление нового строительства» по причине - процент износа менее 81%.</w:t>
      </w:r>
    </w:p>
    <w:p w14:paraId="2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Техническая характеристика здан</w:t>
      </w:r>
      <w:r>
        <w:rPr>
          <w:rFonts w:ascii="Times New Roman" w:hAnsi="Times New Roman"/>
          <w:sz w:val="28"/>
        </w:rPr>
        <w:t>ия: 1969 год постройки жилого дома, занимаемая площадь – 899,1 кв. м. В процессе эксплуатации периодически проводятся текущие ремонты, здание поддерживается в рабочем состоянии в соответствии с требованиями соблюдения установленных санитарных норм и правил</w:t>
      </w:r>
      <w:r>
        <w:rPr>
          <w:rFonts w:ascii="Times New Roman" w:hAnsi="Times New Roman"/>
          <w:sz w:val="28"/>
        </w:rPr>
        <w:t xml:space="preserve"> эксплуатации, здание требует капитального ремонта.</w:t>
      </w:r>
    </w:p>
    <w:p w14:paraId="2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Медицинская помощь жителям с.Никольское оказывается в полном объеме в действующей районной больнице и внесенные изменения не повлияют на качество и доступность медицинской помощи.</w:t>
      </w:r>
    </w:p>
    <w:p w14:paraId="2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none"/>
        </w:rPr>
        <w:t xml:space="preserve">4. </w:t>
      </w:r>
      <w:r>
        <w:rPr>
          <w:rFonts w:ascii="Times New Roman" w:hAnsi="Times New Roman"/>
          <w:sz w:val="28"/>
          <w:u w:val="none"/>
        </w:rPr>
        <w:t>За</w:t>
      </w:r>
      <w:r>
        <w:rPr>
          <w:rFonts w:ascii="Times New Roman" w:hAnsi="Times New Roman"/>
          <w:sz w:val="28"/>
          <w:u w:val="none"/>
        </w:rPr>
        <w:t xml:space="preserve"> счет  нераспределенных средств, образовавшихся  в результате переноса объектов из мероприятия по строительству в мероприятие по осуществлению капитального ремонта предлагаем увеличить стоимость строительства на основании произведенного расчета стоимости с</w:t>
      </w:r>
      <w:r>
        <w:rPr>
          <w:rFonts w:ascii="Times New Roman" w:hAnsi="Times New Roman"/>
          <w:sz w:val="28"/>
          <w:u w:val="none"/>
        </w:rPr>
        <w:t xml:space="preserve">троительства </w:t>
      </w:r>
      <w:r>
        <w:rPr>
          <w:rFonts w:ascii="Times New Roman" w:hAnsi="Times New Roman"/>
          <w:color w:val="151515"/>
          <w:sz w:val="28"/>
          <w:u w:val="none"/>
        </w:rPr>
        <w:t>в соответствии с Приказом Минстроя России от 14 марта 2023 г. № 182/пр «Об утверждении укрупненных нормативов цены строительства «Укрупненные нормативы цены строительства. НЦС 81-02-21-2023), по следующим объектам:</w:t>
      </w:r>
      <w:r>
        <w:rPr>
          <w:rFonts w:ascii="Times New Roman" w:hAnsi="Times New Roman"/>
          <w:sz w:val="28"/>
          <w:u w:val="none"/>
        </w:rPr>
        <w:t xml:space="preserve"> </w:t>
      </w:r>
    </w:p>
    <w:p w14:paraId="2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Объект Фельдшерско-акуше</w:t>
      </w:r>
      <w:r>
        <w:rPr>
          <w:rFonts w:ascii="Times New Roman" w:hAnsi="Times New Roman"/>
          <w:b w:val="1"/>
          <w:sz w:val="28"/>
        </w:rPr>
        <w:t>рский пункт. Камчатский край, Тигильский муниципальный район, с. Хайрюзово</w:t>
      </w:r>
      <w:r>
        <w:rPr>
          <w:rFonts w:ascii="Times New Roman" w:hAnsi="Times New Roman"/>
          <w:sz w:val="28"/>
        </w:rPr>
        <w:t xml:space="preserve"> - реализация 2024-2025 годы</w:t>
      </w:r>
      <w:r>
        <w:rPr>
          <w:rFonts w:ascii="Times New Roman" w:hAnsi="Times New Roman"/>
          <w:color w:val="151515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По результатам произведенного расчета стоимость строительства увеличена и составила 51,72 млн рублей, в том числе  средства федерального бюджета в </w:t>
      </w:r>
      <w:r>
        <w:rPr>
          <w:rFonts w:ascii="Times New Roman" w:hAnsi="Times New Roman"/>
          <w:sz w:val="28"/>
        </w:rPr>
        <w:t>сумме 50,55 млн рублей. Увеличение стоимости на 13,87 млн рублей.</w:t>
      </w:r>
    </w:p>
    <w:p w14:paraId="2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По объекту Фельдшерско-акушерский пункт. Камчатский край, Карагинский муниципальный район, с. Карага</w:t>
      </w:r>
      <w:r>
        <w:rPr>
          <w:rFonts w:ascii="Times New Roman" w:hAnsi="Times New Roman"/>
          <w:sz w:val="28"/>
        </w:rPr>
        <w:t xml:space="preserve"> - реализация 2025 год</w:t>
      </w:r>
      <w:r>
        <w:rPr>
          <w:rFonts w:ascii="Times New Roman" w:hAnsi="Times New Roman"/>
          <w:color w:val="151515"/>
          <w:sz w:val="28"/>
        </w:rPr>
        <w:t xml:space="preserve">. </w:t>
      </w:r>
      <w:r>
        <w:rPr>
          <w:rFonts w:ascii="Times New Roman" w:hAnsi="Times New Roman"/>
          <w:sz w:val="28"/>
        </w:rPr>
        <w:t>По результатам произведенного расчета стоимость строите</w:t>
      </w:r>
      <w:r>
        <w:rPr>
          <w:rFonts w:ascii="Times New Roman" w:hAnsi="Times New Roman"/>
          <w:sz w:val="28"/>
        </w:rPr>
        <w:t>льства увеличена и составила 50,58 млн рублей, в том числе  средства федерального бюджета в сумме 49,44 млн рублей. Увеличение стоимости на 12,73 млн рублей.</w:t>
      </w:r>
    </w:p>
    <w:p w14:paraId="2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По объекту Соболевская районная больница</w:t>
      </w:r>
      <w:r>
        <w:rPr>
          <w:rFonts w:ascii="Times New Roman" w:hAnsi="Times New Roman"/>
          <w:sz w:val="28"/>
        </w:rPr>
        <w:t xml:space="preserve"> - реализация 2024-2025 годы</w:t>
      </w:r>
      <w:r>
        <w:rPr>
          <w:rFonts w:ascii="Times New Roman" w:hAnsi="Times New Roman"/>
          <w:color w:val="151515"/>
          <w:sz w:val="28"/>
        </w:rPr>
        <w:t xml:space="preserve">. </w:t>
      </w:r>
      <w:r>
        <w:rPr>
          <w:rFonts w:ascii="Times New Roman" w:hAnsi="Times New Roman"/>
          <w:sz w:val="28"/>
        </w:rPr>
        <w:t>По результатам прои</w:t>
      </w:r>
      <w:r>
        <w:rPr>
          <w:rFonts w:ascii="Times New Roman" w:hAnsi="Times New Roman"/>
          <w:sz w:val="28"/>
        </w:rPr>
        <w:t>зведенного расчета стоимость строительства увеличена и составила 624,84 млн рублей, в том числе  средства федерального бюджета в сумме 610,76 млн рублей. Увеличение стоимости на 74,84 рублей.</w:t>
      </w:r>
    </w:p>
    <w:p w14:paraId="3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3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По мероприятию 2</w:t>
      </w:r>
      <w:r>
        <w:rPr>
          <w:rFonts w:ascii="Times New Roman" w:hAnsi="Times New Roman"/>
          <w:sz w:val="28"/>
        </w:rPr>
        <w:t xml:space="preserve"> «Осуществление капитального ремонта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 отделения (центры) врач</w:t>
      </w:r>
      <w:r>
        <w:rPr>
          <w:rFonts w:ascii="Times New Roman" w:hAnsi="Times New Roman"/>
          <w:sz w:val="28"/>
        </w:rPr>
        <w:t xml:space="preserve">а общей практики, фельдшерско-акушерские и фельдшерские пункты), а также зданий (отдельных зданий, комплексов зданий) центральных и районных больниц» </w:t>
      </w:r>
    </w:p>
    <w:p w14:paraId="3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степени износа зданий региональной программой утверждено 20 объектов на сумму 405,99 млн. рубле</w:t>
      </w:r>
      <w:r>
        <w:rPr>
          <w:rFonts w:ascii="Times New Roman" w:hAnsi="Times New Roman"/>
          <w:sz w:val="28"/>
        </w:rPr>
        <w:t>й, из них:</w:t>
      </w:r>
    </w:p>
    <w:p w14:paraId="3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10 объектов, из которых 3 объекта являются переходящими, на сумму 80,92 млн рублей;</w:t>
      </w:r>
    </w:p>
    <w:p w14:paraId="3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2022 году 5 объектов, из которых 2 объекта являются переходящими, на сумму 53,43 млн рублей; </w:t>
      </w:r>
    </w:p>
    <w:p w14:paraId="3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7 объектов, из которых 2 объекта являют</w:t>
      </w:r>
      <w:r>
        <w:rPr>
          <w:rFonts w:ascii="Times New Roman" w:hAnsi="Times New Roman"/>
          <w:sz w:val="28"/>
        </w:rPr>
        <w:t>ся переходящими, на сумму 133,15 млн рублей;</w:t>
      </w:r>
    </w:p>
    <w:p w14:paraId="3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2024 году </w:t>
      </w:r>
      <w:r>
        <w:rPr>
          <w:rFonts w:ascii="Times New Roman" w:hAnsi="Times New Roman"/>
          <w:color w:themeColor="text1" w:val="000000"/>
          <w:sz w:val="28"/>
        </w:rPr>
        <w:t>3 о</w:t>
      </w:r>
      <w:r>
        <w:rPr>
          <w:rFonts w:ascii="Times New Roman" w:hAnsi="Times New Roman"/>
          <w:sz w:val="28"/>
        </w:rPr>
        <w:t>бъекта, из которых 2 объекта являются переходящими, на сумму 88,26 млн рублей;</w:t>
      </w:r>
    </w:p>
    <w:p w14:paraId="3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5 объектов на сумму 50,24 млн рублей.</w:t>
      </w:r>
    </w:p>
    <w:p w14:paraId="3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 xml:space="preserve">Проектом программы планируются изменения: </w:t>
      </w:r>
    </w:p>
    <w:p w14:paraId="3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Региональной</w:t>
      </w:r>
      <w:r>
        <w:rPr>
          <w:rFonts w:ascii="Times New Roman" w:hAnsi="Times New Roman"/>
          <w:sz w:val="28"/>
        </w:rPr>
        <w:t xml:space="preserve"> программе на период с 2021 по 2025 год планируется проведение работ по 23 объектам на сумму 609,11 млн. рублей, из них:</w:t>
      </w:r>
    </w:p>
    <w:p w14:paraId="3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10 объектов, из которых 3 объекта стали переходящими, на сумму 80,92 млн рублей;</w:t>
      </w:r>
    </w:p>
    <w:p w14:paraId="3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5 объектов, из которых 2 объе</w:t>
      </w:r>
      <w:r>
        <w:rPr>
          <w:rFonts w:ascii="Times New Roman" w:hAnsi="Times New Roman"/>
          <w:sz w:val="28"/>
        </w:rPr>
        <w:t xml:space="preserve">кта являются переходящими, на сумму 53,43 млн рублей; </w:t>
      </w:r>
    </w:p>
    <w:p w14:paraId="3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7 объектов, из которых 2 объекта будут переходящими, на сумму 133,15 млн рублей;</w:t>
      </w:r>
    </w:p>
    <w:p w14:paraId="3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6 объектов, из которых 3 объекта являются переходящими, на сумму 259,10 млн рублей;</w:t>
      </w:r>
    </w:p>
    <w:p w14:paraId="4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</w:t>
      </w:r>
      <w:r>
        <w:rPr>
          <w:rFonts w:ascii="Times New Roman" w:hAnsi="Times New Roman"/>
          <w:sz w:val="28"/>
        </w:rPr>
        <w:t>у 4 объекта на сумму 82,52 млн рублей.</w:t>
      </w:r>
    </w:p>
    <w:p w14:paraId="4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ускоренной реализацией мероприятий региональной программы в части переноса сроков реализации с 2025 года на 2024 год и в связи с обследованием объектов специализированными организациями предлагаем в данное мероприятие внести следующие изменения:</w:t>
      </w:r>
    </w:p>
    <w:p w14:paraId="4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 объекту Государственное бюджетное учреждение здравоохранения Камча</w:t>
      </w:r>
      <w:r>
        <w:rPr>
          <w:rFonts w:ascii="Times New Roman" w:hAnsi="Times New Roman"/>
          <w:sz w:val="28"/>
        </w:rPr>
        <w:t xml:space="preserve">тского края </w:t>
      </w:r>
      <w:r>
        <w:rPr>
          <w:rFonts w:ascii="Times New Roman" w:hAnsi="Times New Roman"/>
          <w:b w:val="1"/>
          <w:sz w:val="28"/>
        </w:rPr>
        <w:t>«Никольская районная больница»</w:t>
      </w:r>
      <w:r>
        <w:rPr>
          <w:rFonts w:ascii="Times New Roman" w:hAnsi="Times New Roman"/>
          <w:sz w:val="28"/>
        </w:rPr>
        <w:t>, п</w:t>
      </w:r>
      <w:r>
        <w:rPr>
          <w:rFonts w:ascii="Times New Roman" w:hAnsi="Times New Roman"/>
          <w:sz w:val="28"/>
        </w:rPr>
        <w:t xml:space="preserve">ланируется капитальный ремонт внутреннего инженерного обеспечения, внутренних помещений и крыши, фасада, окон, отмостки фундамента-набетонки, пандуса для маломобильных групп населения здания ГБУЗ КК «Никольская районная больница» стоимостью </w:t>
      </w:r>
      <w:r>
        <w:rPr>
          <w:rFonts w:ascii="Times New Roman" w:hAnsi="Times New Roman"/>
          <w:sz w:val="28"/>
        </w:rPr>
        <w:t>110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61</w:t>
      </w:r>
      <w:r>
        <w:rPr>
          <w:rFonts w:ascii="Times New Roman" w:hAnsi="Times New Roman"/>
          <w:sz w:val="28"/>
        </w:rPr>
        <w:t xml:space="preserve"> млн 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(в том числе за счет средств федерального бюджета – </w:t>
      </w:r>
      <w:r>
        <w:rPr>
          <w:rFonts w:ascii="Times New Roman" w:hAnsi="Times New Roman"/>
          <w:sz w:val="28"/>
        </w:rPr>
        <w:t>108,12</w:t>
      </w:r>
      <w:r>
        <w:rPr>
          <w:rFonts w:ascii="Times New Roman" w:hAnsi="Times New Roman"/>
          <w:sz w:val="28"/>
        </w:rPr>
        <w:t xml:space="preserve"> млн рублей)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со сроком реализации в 2024 году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В настоящее время проектная документация разработана 29.08.2023 и</w:t>
      </w:r>
      <w:r>
        <w:rPr>
          <w:rFonts w:ascii="Times New Roman" w:hAnsi="Times New Roman"/>
          <w:sz w:val="28"/>
        </w:rPr>
        <w:t xml:space="preserve"> передана на проведение государственной экспертизы достоверности сметной стоимости и контрактацией в 2023 году.</w:t>
      </w:r>
    </w:p>
    <w:p w14:paraId="4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По о</w:t>
      </w:r>
      <w:r>
        <w:rPr>
          <w:rFonts w:ascii="Times New Roman" w:hAnsi="Times New Roman"/>
          <w:sz w:val="28"/>
        </w:rPr>
        <w:t>бъекту</w:t>
      </w:r>
      <w:r>
        <w:rPr>
          <w:rFonts w:ascii="Times New Roman" w:hAnsi="Times New Roman"/>
          <w:b w:val="1"/>
          <w:sz w:val="28"/>
        </w:rPr>
        <w:t xml:space="preserve">  «</w:t>
      </w:r>
      <w:r>
        <w:rPr>
          <w:rFonts w:ascii="Times New Roman" w:hAnsi="Times New Roman"/>
          <w:b w:val="1"/>
          <w:sz w:val="28"/>
        </w:rPr>
        <w:t>Фельдшерско-акушерский пункт. Камчатский край, Тигильский муниципальный район, с. Ковран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Государственного бюджетного учреждения здравоохранения Камчатского края «Тигильская районная больница», планируется капитальный ремонт кровли, бетонной отмостки, наружных стен, крыльца с устройством пандуса, электрических сетей, канализации (септик), устройство сетей водоснабжения, внутренние общестроительные работы (полы, потолки, стены, замена окон и дверей), сантехнические работы, устройство ограждения территории  по адресу: Камчатский край, Тигильский район, с. Ковран, ул. 50 лет Октября, д. 22 стоимостью </w:t>
      </w:r>
      <w:r>
        <w:rPr>
          <w:rFonts w:ascii="Times New Roman" w:hAnsi="Times New Roman"/>
          <w:sz w:val="28"/>
        </w:rPr>
        <w:t>14,19</w:t>
      </w:r>
      <w:r>
        <w:rPr>
          <w:rFonts w:ascii="Times New Roman" w:hAnsi="Times New Roman"/>
          <w:sz w:val="28"/>
        </w:rPr>
        <w:t xml:space="preserve"> млн 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(в том числе за счет средств федерального бюджета – </w:t>
      </w:r>
      <w:r>
        <w:rPr>
          <w:rFonts w:ascii="Times New Roman" w:hAnsi="Times New Roman"/>
          <w:sz w:val="28"/>
        </w:rPr>
        <w:t>13,87</w:t>
      </w:r>
      <w:r>
        <w:rPr>
          <w:rFonts w:ascii="Times New Roman" w:hAnsi="Times New Roman"/>
          <w:sz w:val="28"/>
        </w:rPr>
        <w:t xml:space="preserve"> млн рублей)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b w:val="1"/>
          <w:sz w:val="28"/>
        </w:rPr>
        <w:t>о сроком реализации в 2024 году</w:t>
      </w:r>
      <w:r>
        <w:rPr>
          <w:rFonts w:ascii="Times New Roman" w:hAnsi="Times New Roman"/>
          <w:sz w:val="28"/>
        </w:rPr>
        <w:t>. 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разработ</w:t>
      </w:r>
      <w:r>
        <w:rPr>
          <w:rFonts w:ascii="Times New Roman" w:hAnsi="Times New Roman"/>
          <w:sz w:val="28"/>
        </w:rPr>
        <w:t>ана проектная документация</w:t>
      </w:r>
      <w:r>
        <w:rPr>
          <w:rFonts w:ascii="Times New Roman" w:hAnsi="Times New Roman"/>
          <w:sz w:val="28"/>
        </w:rPr>
        <w:t>, переда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на проведение государственной экспертизы достоверности сметной стоимости</w:t>
      </w:r>
      <w:r>
        <w:rPr>
          <w:rFonts w:ascii="Times New Roman" w:hAnsi="Times New Roman"/>
          <w:sz w:val="28"/>
        </w:rPr>
        <w:t xml:space="preserve"> с дальнейшей</w:t>
      </w:r>
      <w:r>
        <w:rPr>
          <w:rFonts w:ascii="Times New Roman" w:hAnsi="Times New Roman"/>
          <w:sz w:val="28"/>
        </w:rPr>
        <w:t xml:space="preserve"> контрактацией в 2023 году.</w:t>
      </w:r>
    </w:p>
    <w:p w14:paraId="4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3. По объекту </w:t>
      </w:r>
      <w:r>
        <w:rPr>
          <w:rFonts w:ascii="Times New Roman" w:hAnsi="Times New Roman"/>
          <w:b w:val="1"/>
          <w:sz w:val="28"/>
        </w:rPr>
        <w:t>«Отделение общей врачебной практики (семейной медицины). Камчатский край,Тигильский муниципальный район, с. Седанка»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Государственного бюджетного учреждения здравоохранения Камчатского края «Тигильская районная больница», планируется капитальный ремонт кровли, бетонной отмостки, наружных стен, крыльца с устройством пандуса, электрических сетей, сетей водоснабжения, канализации (септик), внутренние общестроительные работы (полы, потолки, стены, замена окон и дверей), сантехнические работы, устройство ограждения территории по адресу: Камчатский край, Тигильский район, </w:t>
      </w:r>
      <w:r>
        <w:rPr>
          <w:rFonts w:ascii="Times New Roman" w:hAnsi="Times New Roman"/>
          <w:sz w:val="28"/>
        </w:rPr>
        <w:t>с. Седанка, ул. Советская, д. 11.</w:t>
      </w:r>
      <w:r>
        <w:rPr>
          <w:rFonts w:ascii="Times New Roman" w:hAnsi="Times New Roman"/>
          <w:color w:val="FF006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стоимостью </w:t>
      </w:r>
      <w:r>
        <w:rPr>
          <w:rFonts w:ascii="Times New Roman" w:hAnsi="Times New Roman"/>
          <w:sz w:val="28"/>
        </w:rPr>
        <w:t>14,10</w:t>
      </w:r>
      <w:r>
        <w:rPr>
          <w:rFonts w:ascii="Times New Roman" w:hAnsi="Times New Roman"/>
          <w:sz w:val="28"/>
        </w:rPr>
        <w:t xml:space="preserve"> млн рублей </w:t>
      </w:r>
      <w:r>
        <w:rPr>
          <w:rFonts w:ascii="Times New Roman" w:hAnsi="Times New Roman"/>
          <w:sz w:val="28"/>
        </w:rPr>
        <w:t xml:space="preserve"> (в том числе за счет средств федерального бюджета – 13,78 млн рублей) </w:t>
      </w:r>
      <w:r>
        <w:rPr>
          <w:rFonts w:ascii="Times New Roman" w:hAnsi="Times New Roman"/>
          <w:b w:val="1"/>
          <w:sz w:val="28"/>
        </w:rPr>
        <w:t>со сроком реализации в 2024 году. 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</w:t>
      </w:r>
      <w:r>
        <w:rPr>
          <w:rFonts w:ascii="Times New Roman" w:hAnsi="Times New Roman"/>
          <w:sz w:val="28"/>
        </w:rPr>
        <w:t>разработана проектная документация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передана </w:t>
      </w:r>
      <w:r>
        <w:rPr>
          <w:rFonts w:ascii="Times New Roman" w:hAnsi="Times New Roman"/>
          <w:sz w:val="28"/>
        </w:rPr>
        <w:t>на проведение государственной экспертизы достоверности сметной стоимости</w:t>
      </w:r>
      <w:r>
        <w:rPr>
          <w:rFonts w:ascii="Times New Roman" w:hAnsi="Times New Roman"/>
          <w:sz w:val="28"/>
        </w:rPr>
        <w:t xml:space="preserve"> с дальнейшей</w:t>
      </w:r>
      <w:r>
        <w:rPr>
          <w:rFonts w:ascii="Times New Roman" w:hAnsi="Times New Roman"/>
          <w:sz w:val="28"/>
        </w:rPr>
        <w:t xml:space="preserve"> контрактацией в 2023 году</w:t>
      </w:r>
      <w:r>
        <w:rPr>
          <w:rFonts w:ascii="Times New Roman" w:hAnsi="Times New Roman"/>
          <w:sz w:val="28"/>
        </w:rPr>
        <w:t>.</w:t>
      </w:r>
    </w:p>
    <w:p w14:paraId="48000000">
      <w:pPr>
        <w:numPr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 отделении общей врачебной практики (семейной медицины) в с. Тымлат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государственного бюджетного учреждения здравоохранения Камчатского края «Карагинская районная больница» </w:t>
      </w:r>
      <w:r>
        <w:rPr>
          <w:rFonts w:ascii="Times New Roman" w:hAnsi="Times New Roman"/>
          <w:b w:val="0"/>
          <w:sz w:val="28"/>
        </w:rPr>
        <w:t>(реализация мероприятия в 2024 году)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предлагаем заменить наименование работ</w:t>
      </w:r>
      <w:r>
        <w:rPr>
          <w:rFonts w:ascii="Times New Roman" w:hAnsi="Times New Roman"/>
          <w:sz w:val="28"/>
        </w:rPr>
        <w:t xml:space="preserve"> на «Выборочный капитальный ремонт здания ОВОП с. Тымлат, расположенного по адресу: Камчатский край, Карагинский район, с. Тымлат, ул. Набережная, 18» в соответствии с проектной документацией, которая разработана 28.07.2023. Также по данному объекту увеличена стоимость работ, которая составила </w:t>
      </w:r>
      <w:r>
        <w:rPr>
          <w:rFonts w:ascii="Times New Roman" w:hAnsi="Times New Roman"/>
          <w:sz w:val="28"/>
        </w:rPr>
        <w:t>41,93</w:t>
      </w:r>
      <w:r>
        <w:rPr>
          <w:rFonts w:ascii="Times New Roman" w:hAnsi="Times New Roman"/>
          <w:sz w:val="28"/>
        </w:rPr>
        <w:t xml:space="preserve"> млн рублей </w:t>
      </w:r>
      <w:r>
        <w:rPr>
          <w:rFonts w:ascii="Times New Roman" w:hAnsi="Times New Roman"/>
          <w:sz w:val="28"/>
        </w:rPr>
        <w:t>(в том числе за счет средств федерального бюджета – 40,99 млн рублей). Проектная документация передана на проверку подтверждения сметной стоимости с дальнейшей контрактацией в 2023 году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 сроком реализации ремонта в 2024 году</w:t>
      </w:r>
      <w:r>
        <w:rPr>
          <w:rFonts w:ascii="Times New Roman" w:hAnsi="Times New Roman"/>
          <w:sz w:val="28"/>
        </w:rPr>
        <w:t>.</w:t>
      </w:r>
    </w:p>
    <w:p w14:paraId="49000000">
      <w:pPr>
        <w:numPr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В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 врачебной амбулатории п. Раздольный государственного бюджетного учреждения здравоохранения Камчатского края «Елизовская районная больница» </w:t>
      </w:r>
      <w:r>
        <w:rPr>
          <w:rFonts w:ascii="Times New Roman" w:hAnsi="Times New Roman"/>
          <w:b w:val="0"/>
          <w:sz w:val="28"/>
        </w:rPr>
        <w:t>(реализация мероприятия в 2025 году)</w:t>
      </w:r>
      <w:r>
        <w:rPr>
          <w:rFonts w:ascii="Times New Roman" w:hAnsi="Times New Roman"/>
          <w:sz w:val="28"/>
        </w:rPr>
        <w:t xml:space="preserve"> предлагаем заменить наименование работ на </w:t>
      </w:r>
      <w:r>
        <w:rPr>
          <w:rFonts w:ascii="Times New Roman" w:hAnsi="Times New Roman"/>
          <w:sz w:val="28"/>
        </w:rPr>
        <w:t xml:space="preserve">«Выборочный капитальный ремонт: Ремонт фасада, кровли, внутренние общестроительные, электромонтажные и сантехнические работы: отопление, холодное водоснабжение и водоотведение во врачебной амбулатории, расположенной по адресу: 684020 Камчатский край, Елизовский район, п. Раздольный, ул. Лесная,1». По данному объекту также предлагаем увеличить стоимость работ с 5,74 млн рублей на 19,85 млн рублей. </w:t>
      </w:r>
      <w:r>
        <w:rPr>
          <w:rFonts w:ascii="Times New Roman" w:hAnsi="Times New Roman"/>
          <w:sz w:val="28"/>
        </w:rPr>
        <w:t>На данные работы в 2020 году разработана сметная документация без учета стоимости капитального ремонта фасада здания, в 2023 году проведен расчет предельной стоимости капитального ремонта объекта (с учетом дополнительного объема работ по ремонту фасада). В 2024 году планируется разработка</w:t>
      </w:r>
      <w:r>
        <w:rPr>
          <w:rFonts w:ascii="Times New Roman" w:hAnsi="Times New Roman"/>
          <w:b w:val="0"/>
          <w:color w:val="000000"/>
          <w:sz w:val="28"/>
        </w:rPr>
        <w:t xml:space="preserve"> проектной документации. </w:t>
      </w:r>
    </w:p>
    <w:p w14:paraId="4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color w:val="C0504D"/>
          <w:sz w:val="28"/>
        </w:rPr>
      </w:pPr>
      <w:r>
        <w:rPr>
          <w:rFonts w:ascii="Times New Roman" w:hAnsi="Times New Roman"/>
          <w:sz w:val="28"/>
        </w:rPr>
        <w:t xml:space="preserve">Увеличение стоимости за счет удорожания стоимости строительных материалов и их доставки, стоимости ремонтных работ и дополнительного объема работ составило 14,427 млн рублей, недостающую сумму предлагаем перераспределить с мероприятия «Осуществление строительства». </w:t>
      </w:r>
    </w:p>
    <w:p w14:paraId="4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Стоимость работ рассчитана в соответствии с требованиями приказа Минстроя России от 01.02.2022 № 63/пр «Об утверждении нормативов определения стоимости (предельной стоимости) капитального ремонта медицинских организаций первичного звена здравоохранения, центральных районных больниц по субъектам Российской Федерации», </w:t>
      </w:r>
      <w:r>
        <w:rPr>
          <w:rFonts w:ascii="Times New Roman" w:hAnsi="Times New Roman"/>
          <w:sz w:val="28"/>
        </w:rPr>
        <w:t>а также Методических рекомендаций определения нормативов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определения стоимости (предельной стоимости) капитального ремонта медицинских организаций первичного звена здравоохранения, утвержденных приказом Минстроя России от 09.03.2022 № 145/пр.</w:t>
      </w:r>
    </w:p>
    <w:p w14:paraId="4C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По объекту врачебная амбулатория с. Апача Государственного бюджетного учреждения здравоохранения Камчатского края «Усть-Большерецкая районная больница»,</w:t>
      </w:r>
      <w:r>
        <w:rPr>
          <w:rFonts w:ascii="Times New Roman" w:hAnsi="Times New Roman"/>
          <w:sz w:val="28"/>
        </w:rPr>
        <w:t xml:space="preserve"> запланирован капитальный ремонт кровли в 2025 году на сумму 2,00 млн рублей. </w:t>
      </w:r>
      <w:r>
        <w:rPr>
          <w:rFonts w:ascii="Times New Roman" w:hAnsi="Times New Roman"/>
          <w:sz w:val="28"/>
        </w:rPr>
        <w:t xml:space="preserve">На данные работы в 2020 году разработана сметная документация со стоимостью ремонтных работ 2,00 млн рублей со сроком реализации в 2025 году, в 2023 году проведен расчет предельной стоимости капитального ремонта объекта, которая составила 20,17 млн рублей. </w:t>
      </w:r>
      <w:r>
        <w:rPr>
          <w:rFonts w:ascii="Times New Roman" w:hAnsi="Times New Roman"/>
          <w:sz w:val="28"/>
        </w:rPr>
        <w:t>В 2024 году планируется разработка</w:t>
      </w:r>
      <w:r>
        <w:rPr>
          <w:rFonts w:ascii="Times New Roman" w:hAnsi="Times New Roman"/>
          <w:b w:val="0"/>
          <w:color w:val="000000"/>
          <w:sz w:val="28"/>
        </w:rPr>
        <w:t xml:space="preserve"> проектной документации. </w:t>
      </w:r>
    </w:p>
    <w:p w14:paraId="4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Увеличение стоимости за счет удорожания стоимости строительных материалов и их доставки, стоимости ремонтных работ составило 18,172 млн рублей, недостающую сумму предлагаем перераспределить </w:t>
      </w:r>
      <w:r>
        <w:rPr>
          <w:rFonts w:ascii="Times New Roman" w:hAnsi="Times New Roman"/>
          <w:sz w:val="28"/>
        </w:rPr>
        <w:t>с мероприятия «Капитальное строительство»</w:t>
      </w:r>
      <w:r>
        <w:rPr>
          <w:rFonts w:ascii="Times New Roman" w:hAnsi="Times New Roman"/>
          <w:sz w:val="28"/>
        </w:rPr>
        <w:t>, с реализацией в 2025 году после разработки проектной документации и подтверждением достоверности сметной стоимости в 2024 году</w:t>
      </w:r>
      <w:r>
        <w:rPr>
          <w:rFonts w:ascii="Times New Roman" w:hAnsi="Times New Roman"/>
          <w:sz w:val="28"/>
        </w:rPr>
        <w:t xml:space="preserve">. </w:t>
      </w:r>
    </w:p>
    <w:p w14:paraId="4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Стоимость работ рассчитана в соответствии с требованиями приказа Минстроя России от 01.02.2022 № 63/пр «Об утверждении нормативов определения стоимости (предельной стоимости) капитального ремонта медицинских организаций первичного звена здравоохранения, центральных районных больниц по субъектам Российской Федерации», </w:t>
      </w:r>
      <w:r>
        <w:rPr>
          <w:rFonts w:ascii="Times New Roman" w:hAnsi="Times New Roman"/>
          <w:sz w:val="28"/>
        </w:rPr>
        <w:t>а также Методических рекомендаций определения нормативов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определения стоимости (предельной стоимости) капитального ремонта медицинских организаций первичного звена здравоохранения, утвержденных приказом Минстроя России от 09.03.2022 № 145/пр.</w:t>
      </w:r>
    </w:p>
    <w:p w14:paraId="4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50000000">
      <w:pPr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По объекту государственного бюджетного учреждения «Вилючинская городская больница» ул. Победы, 1А, </w:t>
      </w:r>
      <w:r>
        <w:rPr>
          <w:rFonts w:ascii="Times New Roman" w:hAnsi="Times New Roman"/>
          <w:b w:val="0"/>
          <w:color w:val="000000"/>
          <w:sz w:val="28"/>
        </w:rPr>
        <w:t xml:space="preserve">реализация которого предусмотрена в 2021-2025 годах, предлагаем актуализировать виды работ в соответствии с проектной </w:t>
      </w:r>
      <w:r>
        <w:rPr>
          <w:rFonts w:ascii="Times New Roman" w:hAnsi="Times New Roman"/>
          <w:b w:val="0"/>
          <w:color w:val="000000"/>
          <w:sz w:val="28"/>
        </w:rPr>
        <w:t xml:space="preserve">документацией </w:t>
      </w:r>
      <w:r>
        <w:rPr>
          <w:rFonts w:ascii="Times New Roman" w:hAnsi="Times New Roman"/>
          <w:b w:val="0"/>
          <w:sz w:val="28"/>
        </w:rPr>
        <w:t>на «</w:t>
      </w:r>
      <w:r>
        <w:rPr>
          <w:rFonts w:ascii="Times New Roman" w:hAnsi="Times New Roman"/>
          <w:sz w:val="28"/>
        </w:rPr>
        <w:t>Капитальный ремонт кровли ГБУЗ КК «Вилючинская городская больница», расположенная по адресу: 684090, Камчатский край, г. Вилючинск, ул. Победы, 1а; Капитальный ремонт электроосвещения, электрооборудования, структурированных компьютерных сетей; системы отопления, водоснабжения, водоотведенияи ремонт помещений; системы вентиляции; общестроительные работы (штукатурные, малярные, облицовочные, замена дверей) в здании главного корпуса (стационар, поликлиника), расположенного по адресу: г. Вилючинск, ул. Победы, д. 1а» и стоимость работ уменьшить на 8,18 млн рублей с 164,07 млн рублей на 155,89 млн рублей, по годам:</w:t>
      </w: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25,00 млн рублей без изменений;</w:t>
      </w: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40,27 млн рублей без изменений;</w:t>
      </w: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уменьшить на 18,80 млн рублей с 71,30 млн рублей на 52,50 млн рублей;</w:t>
      </w:r>
    </w:p>
    <w:p w14:paraId="5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 увеличить на 10,62 млн рублей с 27,50 млн рублей на 38,12 млн рублей.</w:t>
      </w:r>
    </w:p>
    <w:p w14:paraId="55000000">
      <w:pPr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По объекту государственного бюджетного учреждения «Вилючинская городская больница» ул. Спортивная, 12, </w:t>
      </w:r>
      <w:r>
        <w:rPr>
          <w:rFonts w:ascii="Times New Roman" w:hAnsi="Times New Roman"/>
          <w:b w:val="0"/>
          <w:color w:val="000000"/>
          <w:sz w:val="28"/>
        </w:rPr>
        <w:t xml:space="preserve">реализация которого предусмотрена в 2023-2025 годах, предлагаем актуализировать виды работ в соответствии с проектной </w:t>
      </w:r>
      <w:r>
        <w:rPr>
          <w:rFonts w:ascii="Times New Roman" w:hAnsi="Times New Roman"/>
          <w:b w:val="0"/>
          <w:color w:val="000000"/>
          <w:sz w:val="28"/>
        </w:rPr>
        <w:t>документацие</w:t>
      </w:r>
      <w:r>
        <w:rPr>
          <w:rFonts w:ascii="Times New Roman" w:hAnsi="Times New Roman"/>
          <w:b w:val="0"/>
          <w:color w:val="000000"/>
          <w:sz w:val="28"/>
        </w:rPr>
        <w:t xml:space="preserve">й </w:t>
      </w:r>
      <w:r>
        <w:rPr>
          <w:rFonts w:ascii="Times New Roman" w:hAnsi="Times New Roman"/>
          <w:b w:val="0"/>
          <w:sz w:val="28"/>
        </w:rPr>
        <w:t>на «</w:t>
      </w:r>
      <w:r>
        <w:rPr>
          <w:rFonts w:ascii="Times New Roman" w:hAnsi="Times New Roman"/>
          <w:sz w:val="28"/>
        </w:rPr>
        <w:t>Капитальный ремонт кровли, отделки и утепления фасада; электроосвещения, электрооборудования, структурированных компьютерных сетей; системы отопления, водоснабжения, водоотведения и ремонт помещений; общестроительные работы (штукатурные, малярные, облицовочные, замена дверей) в здании родильного отделения по адресу г. Вилючинск, ул. Спортивная, 12»</w:t>
      </w:r>
      <w:r>
        <w:rPr>
          <w:rFonts w:ascii="Times New Roman" w:hAnsi="Times New Roman"/>
          <w:sz w:val="28"/>
        </w:rPr>
        <w:t xml:space="preserve"> и стоимость работ увеличить на 8,18 млн рублей с 58,79 млн рублей на 66,96 млн рублей, по годам:</w:t>
      </w:r>
    </w:p>
    <w:p w14:paraId="5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36,83 млн рублей без изменений;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увеличение на 18,80 млн рублей с 6,96 млн рублей на 25,75 млн рублей;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 уменьшить на 10,62 млн рублей с 15,00 млн рублей на 4,38 млн рублей.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z w:val="28"/>
        </w:rPr>
      </w:pPr>
    </w:p>
    <w:p w14:paraId="5B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u w:val="single"/>
        </w:rPr>
        <w:t>не софинансируемые за счет средств федерального бюджета расходы субъекта Российской Федерации</w:t>
      </w:r>
      <w:r>
        <w:rPr>
          <w:rFonts w:ascii="Times New Roman" w:hAnsi="Times New Roman"/>
          <w:sz w:val="28"/>
        </w:rPr>
        <w:t xml:space="preserve"> в части мероприятий по капитальному ремонту: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По объекту фельдшерско-акушерский пункт в с. Ачайваям Государственного бюджетного учреждения здравоохранения Камчатского края «Олюторская районная больница» запланирован выборочный капитальный ремонт кровли, отмостки, фундамента, внутренние общестроительные работы, ремонт внутренних электрических сетей  с установкой радиаторов отопления, ремонт системы водоснабжения, теплоснабжения, канализации, сантехнические работы, ремонт крыльца с установкой пандуса и поручней, замена окон и дверей, замена входных ворот стоимостью </w:t>
      </w:r>
      <w:r>
        <w:rPr>
          <w:rFonts w:ascii="Times New Roman" w:hAnsi="Times New Roman"/>
          <w:sz w:val="28"/>
        </w:rPr>
        <w:t>49,95</w:t>
      </w:r>
      <w:r>
        <w:rPr>
          <w:rFonts w:ascii="Times New Roman" w:hAnsi="Times New Roman"/>
          <w:sz w:val="28"/>
        </w:rPr>
        <w:t xml:space="preserve"> млн. рублей со сроком реализации в 2024 году. 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Данный объект предусмотрен в мероприятии «Осуществление строительства объектов» со сроком реализации в 2021-2022 годах. В связи с проведением обследования здания в 2023 году ООО «Кампрект» указано, что износ здания составляет 41,03% (Техническое заключение по резукльтатам обследования прилагаем). </w:t>
      </w:r>
      <w:r>
        <w:rPr>
          <w:rFonts w:ascii="Times New Roman" w:hAnsi="Times New Roman"/>
          <w:sz w:val="28"/>
        </w:rPr>
        <w:t xml:space="preserve">Фельдшерско-акушерский пункт </w:t>
      </w:r>
      <w:r>
        <w:rPr>
          <w:rFonts w:ascii="Times New Roman" w:hAnsi="Times New Roman"/>
          <w:sz w:val="28"/>
        </w:rPr>
        <w:t>в с. Ачайваям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располагается в приспособленном помещении</w:t>
      </w:r>
      <w:r>
        <w:rPr>
          <w:rFonts w:ascii="Times New Roman" w:hAnsi="Times New Roman"/>
          <w:sz w:val="28"/>
        </w:rPr>
        <w:t xml:space="preserve">. Техническая характеристика здания: </w:t>
      </w:r>
      <w:r>
        <w:rPr>
          <w:rFonts w:ascii="Times New Roman" w:hAnsi="Times New Roman"/>
          <w:color w:val="C0504D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965 года постройки здания, занимаемая площадь – 181,5 кв. м.</w:t>
      </w:r>
      <w:r>
        <w:rPr>
          <w:rFonts w:ascii="Times New Roman" w:hAnsi="Times New Roman"/>
          <w:color w:val="000000"/>
          <w:sz w:val="28"/>
        </w:rPr>
        <w:t xml:space="preserve"> В процессе экспл</w:t>
      </w:r>
      <w:r>
        <w:rPr>
          <w:rFonts w:ascii="Times New Roman" w:hAnsi="Times New Roman"/>
          <w:sz w:val="28"/>
        </w:rPr>
        <w:t>уатации периодически проводятся текущие ремонты,</w:t>
      </w:r>
      <w:r>
        <w:rPr>
          <w:rFonts w:ascii="Times New Roman" w:hAnsi="Times New Roman"/>
          <w:sz w:val="28"/>
        </w:rPr>
        <w:t xml:space="preserve"> здание поддерживается в рабочем состоянии в соответствии с требованиями соблюдения установленных санитарных норм и правил эксплуатации, здание требует капитального ремонта.</w:t>
      </w:r>
    </w:p>
    <w:p w14:paraId="6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Медицинская помощь жителям с. Ачайваям оказывается в полном объеме в действующем фел</w:t>
      </w:r>
      <w:r>
        <w:rPr>
          <w:rFonts w:ascii="Times New Roman" w:hAnsi="Times New Roman"/>
          <w:sz w:val="28"/>
        </w:rPr>
        <w:t>ьдшерско-акушерском пункте и внесенные изменения не повлияют на качество и доступность медицинской помощи.</w:t>
      </w:r>
    </w:p>
    <w:p w14:paraId="6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на стадии завершения разработка проектной документации, с дальнейшим проведением государственной экспертизы достоверности сметной стоимости и контрактацией в 2023 году. Работы по капитальному ремонту объекта будут произведены за счет средств краевого бюджета. Предлагаем зачесть результат по строительству объекта осуществлением капитального ремонта в 2024 году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ПРИЛОЖЕНИЕ 11</w:t>
      </w:r>
      <w:r>
        <w:rPr>
          <w:rFonts w:ascii="Times New Roman" w:hAnsi="Times New Roman"/>
          <w:sz w:val="28"/>
        </w:rPr>
        <w:t>.1).</w:t>
      </w:r>
    </w:p>
    <w:p w14:paraId="6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6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мероприятию 3</w:t>
      </w:r>
      <w:r>
        <w:rPr>
          <w:rFonts w:ascii="Times New Roman" w:hAnsi="Times New Roman"/>
          <w:sz w:val="28"/>
        </w:rPr>
        <w:t xml:space="preserve"> «Приобретение объектов недвижимого имущества, с даты ввода в эксплуатацию которых прошло не бо</w:t>
      </w:r>
      <w:r>
        <w:rPr>
          <w:rFonts w:ascii="Times New Roman" w:hAnsi="Times New Roman"/>
          <w:sz w:val="28"/>
        </w:rPr>
        <w:t>лее 5 лет, и некапитальных строений, с даты завершения строительства которых прошло не более 5 лет, а также земельных участков, на которых они находятся, для размещения медицинских организаций, подведомственных органам исполнительной власти субъекта Россий</w:t>
      </w:r>
      <w:r>
        <w:rPr>
          <w:rFonts w:ascii="Times New Roman" w:hAnsi="Times New Roman"/>
          <w:sz w:val="28"/>
        </w:rPr>
        <w:t xml:space="preserve">ской Федерации и (или) муниципальных медицинских организаций, расположенных на территории субъекта Российской Федерации, оказывающих первичную медико-санитарную </w:t>
      </w:r>
      <w:r>
        <w:rPr>
          <w:rFonts w:ascii="Times New Roman" w:hAnsi="Times New Roman"/>
          <w:sz w:val="28"/>
        </w:rPr>
        <w:t>помощь взрослым и детям, их обособленных структурных подразделений, центральных районных и райо</w:t>
      </w:r>
      <w:r>
        <w:rPr>
          <w:rFonts w:ascii="Times New Roman" w:hAnsi="Times New Roman"/>
          <w:sz w:val="28"/>
        </w:rPr>
        <w:t xml:space="preserve">нных больниц» </w:t>
      </w:r>
    </w:p>
    <w:p w14:paraId="6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программы не планируются изменения</w:t>
      </w:r>
    </w:p>
    <w:p w14:paraId="6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6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мероприятию 4 </w:t>
      </w:r>
      <w:r>
        <w:rPr>
          <w:rFonts w:ascii="Times New Roman" w:hAnsi="Times New Roman"/>
          <w:sz w:val="28"/>
        </w:rPr>
        <w:t>«Приобретение и монтаж быстровозводимых модульных конструкций врачебных амбулаторий, центров (отделений) общей врачебной практики (семейной медицины), фельдшерско-акушерских пункт</w:t>
      </w:r>
      <w:r>
        <w:rPr>
          <w:rFonts w:ascii="Times New Roman" w:hAnsi="Times New Roman"/>
          <w:sz w:val="28"/>
        </w:rPr>
        <w:t>ов, фельдшерских здравпунктов, подведомственных органам исполнительной власти субъекта Российской Федерации и (или) муниципальных медицинских организаций, расположенных на территории субъекта Российской Федерации, оказывающих первичную медико-санитарную по</w:t>
      </w:r>
      <w:r>
        <w:rPr>
          <w:rFonts w:ascii="Times New Roman" w:hAnsi="Times New Roman"/>
          <w:sz w:val="28"/>
        </w:rPr>
        <w:t>мощь взрослым и детям, их обособленных структурных подразделений, центральных районных и районных больниц»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6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программы не планируются изменения</w:t>
      </w:r>
    </w:p>
    <w:p w14:paraId="6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6B000000">
      <w:pPr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По мероприятию 5</w:t>
      </w:r>
      <w:r>
        <w:rPr>
          <w:rFonts w:ascii="Times New Roman" w:hAnsi="Times New Roman"/>
          <w:sz w:val="28"/>
        </w:rPr>
        <w:t xml:space="preserve"> Оснащение автомобильным транспортом </w:t>
      </w:r>
      <w:r>
        <w:rPr>
          <w:rFonts w:ascii="Times New Roman" w:hAnsi="Times New Roman"/>
          <w:sz w:val="28"/>
        </w:rPr>
        <w:t xml:space="preserve">медицинских организаций, оказывающих первичную медико-санитарную помощь, </w:t>
      </w:r>
      <w:r>
        <w:rPr>
          <w:rFonts w:ascii="Times New Roman" w:hAnsi="Times New Roman"/>
          <w:sz w:val="28"/>
        </w:rPr>
        <w:t xml:space="preserve">центральных районных и районных больниц, расположенных в сельской местности, поселках городского типа и малых городах (с численностью населения до 50 тыс. человек): автотранспорт для доставки пациентов в медицинские организации, автотранспорт для доставки </w:t>
      </w:r>
      <w:r>
        <w:rPr>
          <w:rFonts w:ascii="Times New Roman" w:hAnsi="Times New Roman"/>
          <w:sz w:val="28"/>
        </w:rPr>
        <w:t>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районов.</w:t>
      </w:r>
    </w:p>
    <w:p w14:paraId="6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программы не планируются изменения</w:t>
      </w:r>
    </w:p>
    <w:p w14:paraId="6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6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6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мероприятию 6 </w:t>
      </w:r>
      <w:r>
        <w:rPr>
          <w:rFonts w:ascii="Times New Roman" w:hAnsi="Times New Roman"/>
          <w:sz w:val="28"/>
        </w:rPr>
        <w:t>«С учетом</w:t>
      </w:r>
      <w:r>
        <w:rPr>
          <w:rFonts w:ascii="Times New Roman" w:hAnsi="Times New Roman"/>
          <w:sz w:val="28"/>
        </w:rPr>
        <w:t xml:space="preserve"> паспортов медицинских организаций приведение материально-технической базы медицинских организаций, оказывающих первичную медико-санитарную помощь взрослым и детям, их обособленных структурных подразделений, центральных районных и районных больниц в соотве</w:t>
      </w:r>
      <w:r>
        <w:rPr>
          <w:rFonts w:ascii="Times New Roman" w:hAnsi="Times New Roman"/>
          <w:sz w:val="28"/>
        </w:rPr>
        <w:t>тствие с требованиями порядков оказания медицинской помощи, их дооснащение и переоснащение оборудованием для оказания медицинской помощи»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7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Региональной программой утверждено приобрете</w:t>
      </w:r>
      <w:r>
        <w:rPr>
          <w:rFonts w:ascii="Times New Roman" w:hAnsi="Times New Roman"/>
          <w:sz w:val="28"/>
        </w:rPr>
        <w:t>ние медицинского оборудования в количестве 339 единиц на сумму 740,69 млн рублей (дооснащение – 233 единицы, переоснащение – 106 единиц), из них:</w:t>
      </w:r>
    </w:p>
    <w:p w14:paraId="7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142 единицы оборудования на сумму 437,40 млн рублей;</w:t>
      </w:r>
    </w:p>
    <w:p w14:paraId="7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2022 </w:t>
      </w:r>
      <w:r>
        <w:rPr>
          <w:rFonts w:ascii="Times New Roman" w:hAnsi="Times New Roman"/>
          <w:sz w:val="28"/>
        </w:rPr>
        <w:t>году 143 единиц оборудования на сумму 162,46 млн рублей;</w:t>
      </w:r>
    </w:p>
    <w:p w14:paraId="7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49 единица оборудования на сумму 137,83 млн рублей;</w:t>
      </w:r>
    </w:p>
    <w:p w14:paraId="7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1 единица оборудования на сумму 2,20 млн рублей;</w:t>
      </w:r>
    </w:p>
    <w:p w14:paraId="7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4 единицы оборудования на сумму 0,80 млн рублей.</w:t>
      </w:r>
    </w:p>
    <w:p w14:paraId="7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</w:p>
    <w:p w14:paraId="77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b w:val="1"/>
          <w:i w:val="1"/>
          <w:sz w:val="28"/>
          <w:u w:val="single"/>
        </w:rPr>
        <w:t>Проектом про</w:t>
      </w:r>
      <w:r>
        <w:rPr>
          <w:rFonts w:ascii="Times New Roman" w:hAnsi="Times New Roman"/>
          <w:b w:val="1"/>
          <w:i w:val="1"/>
          <w:sz w:val="28"/>
          <w:u w:val="single"/>
        </w:rPr>
        <w:t>граммы планируются изменения:</w:t>
      </w:r>
    </w:p>
    <w:p w14:paraId="78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i w:val="1"/>
          <w:sz w:val="28"/>
          <w:u w:val="single"/>
        </w:rPr>
      </w:pPr>
      <w:r>
        <w:rPr>
          <w:rFonts w:ascii="Times New Roman" w:hAnsi="Times New Roman"/>
          <w:sz w:val="28"/>
        </w:rPr>
        <w:t>Утвердить р</w:t>
      </w:r>
      <w:r>
        <w:rPr>
          <w:rFonts w:ascii="Times New Roman" w:hAnsi="Times New Roman"/>
          <w:sz w:val="28"/>
        </w:rPr>
        <w:t>егиональной программой приобретение медицинского оборудования в количестве 3</w:t>
      </w:r>
      <w:r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 xml:space="preserve"> единиц на сумму 740,69 млн рублей (дооснащение – 23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единицы, переоснащение – 106 единиц), из них:</w:t>
      </w:r>
    </w:p>
    <w:p w14:paraId="7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142 единицы оборудования на сумму 437,40 млн рублей;</w:t>
      </w:r>
    </w:p>
    <w:p w14:paraId="7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143 единиц оборудования на сумму 162,46 млн рублей;</w:t>
      </w:r>
    </w:p>
    <w:p w14:paraId="7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 году 49 единица оборудования на сумму 137,83 млн ру</w:t>
      </w:r>
      <w:r>
        <w:rPr>
          <w:rFonts w:ascii="Times New Roman" w:hAnsi="Times New Roman"/>
          <w:sz w:val="28"/>
        </w:rPr>
        <w:t>блей;</w:t>
      </w:r>
    </w:p>
    <w:p w14:paraId="7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6 единиц оборудования на сумму 3,00 млн рублей;</w:t>
      </w:r>
    </w:p>
    <w:p w14:paraId="7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7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достижения результатов реализации мероприятий региональной программы и обеспечения доступности оказания медицинской помощи учреждениями здравоохранения первичного звена предлагаем вн</w:t>
      </w:r>
      <w:r>
        <w:rPr>
          <w:rFonts w:ascii="Times New Roman" w:hAnsi="Times New Roman"/>
          <w:sz w:val="28"/>
        </w:rPr>
        <w:t>ести изменения в Приложение № 8 таблицы 1 в части наименования оборудования, а именно:</w:t>
      </w:r>
    </w:p>
    <w:p w14:paraId="7F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Государственное бюджетное учреждение здравоохранения Камчатского края «</w:t>
      </w:r>
      <w:r>
        <w:rPr>
          <w:rFonts w:ascii="Times New Roman" w:hAnsi="Times New Roman"/>
          <w:b w:val="1"/>
          <w:sz w:val="28"/>
        </w:rPr>
        <w:t>Елизовская</w:t>
      </w:r>
      <w:r>
        <w:rPr>
          <w:rFonts w:ascii="Times New Roman" w:hAnsi="Times New Roman"/>
          <w:b w:val="1"/>
          <w:sz w:val="28"/>
        </w:rPr>
        <w:t xml:space="preserve"> районная больница»: </w:t>
      </w:r>
    </w:p>
    <w:p w14:paraId="80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Исключить следующее медицинское оборудование:</w:t>
      </w:r>
    </w:p>
    <w:p w14:paraId="8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Стабилограф</w:t>
      </w:r>
      <w:r>
        <w:rPr>
          <w:rFonts w:ascii="Times New Roman" w:hAnsi="Times New Roman"/>
          <w:sz w:val="28"/>
        </w:rPr>
        <w:t xml:space="preserve"> компьютерный (устройство для диагностики функции равновесия) – 1 единица;</w:t>
      </w:r>
    </w:p>
    <w:p w14:paraId="8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Предусм</w:t>
      </w:r>
      <w:r>
        <w:rPr>
          <w:rFonts w:ascii="Times New Roman" w:hAnsi="Times New Roman"/>
          <w:sz w:val="28"/>
        </w:rPr>
        <w:t>отреть приобретение следующего медицинского оборудования:</w:t>
      </w:r>
    </w:p>
    <w:p w14:paraId="8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Фетальный монитор – 2 единицы</w:t>
      </w:r>
      <w:r>
        <w:rPr>
          <w:rFonts w:ascii="Times New Roman" w:hAnsi="Times New Roman"/>
          <w:sz w:val="28"/>
        </w:rPr>
        <w:t>.</w:t>
      </w:r>
    </w:p>
    <w:p w14:paraId="8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достижения </w:t>
      </w:r>
      <w:r>
        <w:rPr>
          <w:rFonts w:ascii="Times New Roman" w:hAnsi="Times New Roman"/>
          <w:sz w:val="28"/>
        </w:rPr>
        <w:t>результатов реализации мероприятий региональной программы и обеспечения доступности оказания медицинской помощи учреждениями здравоохранения первичного звена предлагаем внести изменения в Приложение № 8 таблицы 2 в части наименования оборудования, а именно</w:t>
      </w:r>
      <w:r>
        <w:rPr>
          <w:rFonts w:ascii="Times New Roman" w:hAnsi="Times New Roman"/>
          <w:sz w:val="28"/>
        </w:rPr>
        <w:t>:</w:t>
      </w:r>
    </w:p>
    <w:p w14:paraId="8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Государственное бюджетное учреждение здравоохранения Камчатского края «</w:t>
      </w:r>
      <w:r>
        <w:rPr>
          <w:rFonts w:ascii="Times New Roman" w:hAnsi="Times New Roman"/>
          <w:b w:val="1"/>
          <w:sz w:val="28"/>
        </w:rPr>
        <w:t>Мильковская</w:t>
      </w:r>
      <w:r>
        <w:rPr>
          <w:rFonts w:ascii="Times New Roman" w:hAnsi="Times New Roman"/>
          <w:b w:val="1"/>
          <w:sz w:val="28"/>
        </w:rPr>
        <w:t xml:space="preserve"> районная больница»:</w:t>
      </w:r>
    </w:p>
    <w:p w14:paraId="8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Предусмотреть приобретение следующего медицинского оборудования, </w:t>
      </w:r>
      <w:r>
        <w:rPr>
          <w:rFonts w:ascii="Times New Roman" w:hAnsi="Times New Roman"/>
          <w:sz w:val="28"/>
        </w:rPr>
        <w:t>запланированного на 2025 год, в 2024 году:</w:t>
      </w:r>
    </w:p>
    <w:p w14:paraId="87000000">
      <w:pPr>
        <w:spacing w:after="0" w:line="24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Стерилизатор для инструментов – 4 единицы.</w:t>
      </w:r>
    </w:p>
    <w:p w14:paraId="88000000">
      <w:pPr>
        <w:spacing w:after="0"/>
        <w:ind w:firstLine="0" w:left="1095" w:right="1125"/>
        <w:rPr>
          <w:rFonts w:ascii="Helvetica Neue" w:hAnsi="Helvetica Neue"/>
          <w:color w:val="151515"/>
          <w:sz w:val="24"/>
        </w:rPr>
      </w:pPr>
    </w:p>
    <w:p w14:paraId="89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Приложение: </w:t>
      </w:r>
    </w:p>
    <w:p w14:paraId="8A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t xml:space="preserve"> </w:t>
      </w:r>
      <w:r>
        <w:rPr>
          <w:rFonts w:ascii="Times New Roman" w:hAnsi="Times New Roman"/>
          <w:sz w:val="28"/>
        </w:rPr>
        <w:t>Таблица изменения мероприятий Камчатский край в формате Excel;</w:t>
      </w:r>
    </w:p>
    <w:p w14:paraId="8B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Сравнительная таблица по мероприятию «Осуществление нового строительства (его завершение)» в формате Excel;</w:t>
      </w:r>
    </w:p>
    <w:p w14:paraId="8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Сравнительная таблица по мероприятию «Осуществле</w:t>
      </w:r>
      <w:r>
        <w:rPr>
          <w:rFonts w:ascii="Times New Roman" w:hAnsi="Times New Roman"/>
          <w:sz w:val="28"/>
        </w:rPr>
        <w:t>ние капитального ремонта зданий медицинских организаций и их обособленных структурных подразделений» в формате Excel;</w:t>
      </w:r>
    </w:p>
    <w:p w14:paraId="8D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Сравнительная таблица по мероприятию Приобретение и монтаж быстровозводимых модульных конструкций (КАМЧАТСКИЙ КРАЙ) в формате Excel;</w:t>
      </w:r>
    </w:p>
    <w:p w14:paraId="8E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 xml:space="preserve"> Акты технического обследования зданий в формате ZIP.</w:t>
      </w:r>
    </w:p>
    <w:sectPr>
      <w:headerReference r:id="rId1" w:type="default"/>
      <w:type w:val="nextPage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Обычный1"/>
    <w:link w:val="Style_4_ch"/>
  </w:style>
  <w:style w:styleId="Style_4_ch" w:type="character">
    <w:name w:val="Обычный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endnote text"/>
    <w:basedOn w:val="Style_3"/>
    <w:link w:val="Style_7_ch"/>
    <w:pPr>
      <w:spacing w:after="0" w:line="240" w:lineRule="auto"/>
      <w:ind/>
    </w:pPr>
    <w:rPr>
      <w:sz w:val="20"/>
    </w:rPr>
  </w:style>
  <w:style w:styleId="Style_7_ch" w:type="character">
    <w:name w:val="endnote text"/>
    <w:basedOn w:val="Style_3_ch"/>
    <w:link w:val="Style_7"/>
    <w:rPr>
      <w:sz w:val="20"/>
    </w:rPr>
  </w:style>
  <w:style w:styleId="Style_8" w:type="paragraph">
    <w:name w:val="Balloon Text"/>
    <w:basedOn w:val="Style_3"/>
    <w:link w:val="Style_8_ch"/>
    <w:pPr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3_ch"/>
    <w:link w:val="Style_8"/>
    <w:rPr>
      <w:rFonts w:ascii="Segoe UI" w:hAnsi="Segoe UI"/>
      <w:sz w:val="18"/>
    </w:rPr>
  </w:style>
  <w:style w:styleId="Style_9" w:type="paragraph">
    <w:name w:val="heading 7"/>
    <w:basedOn w:val="Style_3"/>
    <w:next w:val="Style_3"/>
    <w:link w:val="Style_9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3_ch"/>
    <w:link w:val="Style_9"/>
    <w:rPr>
      <w:rFonts w:ascii="Arial" w:hAnsi="Arial"/>
      <w:b w:val="1"/>
      <w:i w:val="1"/>
      <w:sz w:val="22"/>
    </w:rPr>
  </w:style>
  <w:style w:styleId="Style_10" w:type="paragraph">
    <w:name w:val="toc 6"/>
    <w:next w:val="Style_3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Heading 2 Char"/>
    <w:basedOn w:val="Style_12"/>
    <w:link w:val="Style_11_ch"/>
    <w:rPr>
      <w:rFonts w:ascii="Arial" w:hAnsi="Arial"/>
      <w:sz w:val="34"/>
    </w:rPr>
  </w:style>
  <w:style w:styleId="Style_11_ch" w:type="character">
    <w:name w:val="Heading 2 Char"/>
    <w:basedOn w:val="Style_12_ch"/>
    <w:link w:val="Style_11"/>
    <w:rPr>
      <w:rFonts w:ascii="Arial" w:hAnsi="Arial"/>
      <w:sz w:val="34"/>
    </w:rPr>
  </w:style>
  <w:style w:styleId="Style_13" w:type="paragraph">
    <w:name w:val="toc 7"/>
    <w:next w:val="Style_3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Обычный1"/>
    <w:link w:val="Style_14_ch"/>
  </w:style>
  <w:style w:styleId="Style_14_ch" w:type="character">
    <w:name w:val="Обычный1"/>
    <w:link w:val="Style_14"/>
  </w:style>
  <w:style w:styleId="Style_15" w:type="paragraph">
    <w:name w:val="List Paragraph"/>
    <w:basedOn w:val="Style_3"/>
    <w:link w:val="Style_15_ch"/>
    <w:pPr>
      <w:spacing w:after="160" w:line="264" w:lineRule="auto"/>
      <w:ind w:firstLine="0" w:left="720"/>
      <w:contextualSpacing w:val="1"/>
    </w:pPr>
  </w:style>
  <w:style w:styleId="Style_15_ch" w:type="character">
    <w:name w:val="List Paragraph"/>
    <w:basedOn w:val="Style_3_ch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Footer"/>
    <w:basedOn w:val="Style_3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3_ch"/>
    <w:link w:val="Style_17"/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heading 3"/>
    <w:next w:val="Style_3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Caption Char"/>
    <w:basedOn w:val="Style_21"/>
    <w:link w:val="Style_20_ch"/>
  </w:style>
  <w:style w:styleId="Style_20_ch" w:type="character">
    <w:name w:val="Caption Char"/>
    <w:basedOn w:val="Style_21_ch"/>
    <w:link w:val="Style_20"/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3" w:type="paragraph">
    <w:name w:val="Знак примечания1"/>
    <w:basedOn w:val="Style_24"/>
    <w:link w:val="Style_23_ch"/>
    <w:rPr>
      <w:sz w:val="16"/>
    </w:rPr>
  </w:style>
  <w:style w:styleId="Style_23_ch" w:type="character">
    <w:name w:val="Знак примечания1"/>
    <w:basedOn w:val="Style_24_ch"/>
    <w:link w:val="Style_23"/>
    <w:rPr>
      <w:sz w:val="16"/>
    </w:rPr>
  </w:style>
  <w:style w:styleId="Style_25" w:type="paragraph">
    <w:name w:val="heading 9"/>
    <w:basedOn w:val="Style_3"/>
    <w:next w:val="Style_3"/>
    <w:link w:val="Style_25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5_ch" w:type="character">
    <w:name w:val="heading 9"/>
    <w:basedOn w:val="Style_3_ch"/>
    <w:link w:val="Style_25"/>
    <w:rPr>
      <w:rFonts w:ascii="Arial" w:hAnsi="Arial"/>
      <w:i w:val="1"/>
      <w:sz w:val="21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1" w:type="paragraph">
    <w:name w:val="Caption"/>
    <w:basedOn w:val="Style_3"/>
    <w:next w:val="Style_3"/>
    <w:link w:val="Style_21_ch"/>
    <w:pPr>
      <w:spacing w:line="276" w:lineRule="auto"/>
      <w:ind/>
    </w:pPr>
    <w:rPr>
      <w:b w:val="1"/>
      <w:color w:themeColor="accent1" w:val="4F81BD"/>
      <w:sz w:val="18"/>
    </w:rPr>
  </w:style>
  <w:style w:styleId="Style_21_ch" w:type="character">
    <w:name w:val="Caption"/>
    <w:basedOn w:val="Style_3_ch"/>
    <w:link w:val="Style_21"/>
    <w:rPr>
      <w:b w:val="1"/>
      <w:color w:themeColor="accent1" w:val="4F81BD"/>
      <w:sz w:val="18"/>
    </w:rPr>
  </w:style>
  <w:style w:styleId="Style_27" w:type="paragraph">
    <w:name w:val="Subtitle Char"/>
    <w:basedOn w:val="Style_12"/>
    <w:link w:val="Style_27_ch"/>
    <w:rPr>
      <w:sz w:val="24"/>
    </w:rPr>
  </w:style>
  <w:style w:styleId="Style_27_ch" w:type="character">
    <w:name w:val="Subtitle Char"/>
    <w:basedOn w:val="Style_12_ch"/>
    <w:link w:val="Style_27"/>
    <w:rPr>
      <w:sz w:val="24"/>
    </w:rPr>
  </w:style>
  <w:style w:styleId="Style_28" w:type="paragraph">
    <w:name w:val="toc 3"/>
    <w:next w:val="Style_3"/>
    <w:link w:val="Style_28_ch"/>
    <w:uiPriority w:val="39"/>
    <w:pPr>
      <w:ind w:firstLine="0" w:left="400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Heading 4 Char"/>
    <w:basedOn w:val="Style_12"/>
    <w:link w:val="Style_29_ch"/>
    <w:rPr>
      <w:rFonts w:ascii="Arial" w:hAnsi="Arial"/>
      <w:b w:val="1"/>
      <w:sz w:val="26"/>
    </w:rPr>
  </w:style>
  <w:style w:styleId="Style_29_ch" w:type="character">
    <w:name w:val="Heading 4 Char"/>
    <w:basedOn w:val="Style_12_ch"/>
    <w:link w:val="Style_29"/>
    <w:rPr>
      <w:rFonts w:ascii="Arial" w:hAnsi="Arial"/>
      <w:b w:val="1"/>
      <w:sz w:val="26"/>
    </w:rPr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30_ch" w:type="character">
    <w:name w:val="heading 5"/>
    <w:link w:val="Style_30"/>
    <w:rPr>
      <w:rFonts w:ascii="XO Thames" w:hAnsi="XO Thames"/>
      <w:b w:val="1"/>
    </w:rPr>
  </w:style>
  <w:style w:styleId="Style_31" w:type="paragraph">
    <w:name w:val="table of figures"/>
    <w:basedOn w:val="Style_3"/>
    <w:next w:val="Style_3"/>
    <w:link w:val="Style_31_ch"/>
    <w:pPr>
      <w:spacing w:after="0"/>
      <w:ind/>
    </w:pPr>
  </w:style>
  <w:style w:styleId="Style_31_ch" w:type="character">
    <w:name w:val="table of figures"/>
    <w:basedOn w:val="Style_3_ch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Гиперссылка2"/>
    <w:link w:val="Style_33_ch"/>
    <w:rPr>
      <w:color w:val="0000FF"/>
      <w:u w:val="single"/>
    </w:rPr>
  </w:style>
  <w:style w:styleId="Style_33_ch" w:type="character">
    <w:name w:val="Гиперссылка2"/>
    <w:link w:val="Style_33"/>
    <w:rPr>
      <w:color w:val="0000FF"/>
      <w:u w:val="single"/>
    </w:rPr>
  </w:style>
  <w:style w:styleId="Style_34" w:type="paragraph">
    <w:name w:val="Footer Char"/>
    <w:basedOn w:val="Style_12"/>
    <w:link w:val="Style_34_ch"/>
  </w:style>
  <w:style w:styleId="Style_34_ch" w:type="character">
    <w:name w:val="Footer Char"/>
    <w:basedOn w:val="Style_12_ch"/>
    <w:link w:val="Style_34"/>
  </w:style>
  <w:style w:styleId="Style_2" w:type="paragraph">
    <w:name w:val="Гиперссылка3"/>
    <w:link w:val="Style_2_ch"/>
    <w:rPr>
      <w:color w:val="0000FF"/>
      <w:u w:val="single"/>
    </w:rPr>
  </w:style>
  <w:style w:styleId="Style_2_ch" w:type="character">
    <w:name w:val="Гиперссылка3"/>
    <w:link w:val="Style_2"/>
    <w:rPr>
      <w:color w:val="0000FF"/>
      <w:u w:val="single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basedOn w:val="Style_3"/>
    <w:link w:val="Style_36_ch"/>
    <w:pPr>
      <w:spacing w:after="40" w:line="240" w:lineRule="auto"/>
      <w:ind/>
    </w:pPr>
    <w:rPr>
      <w:sz w:val="18"/>
    </w:rPr>
  </w:style>
  <w:style w:styleId="Style_36_ch" w:type="character">
    <w:name w:val="Footnote"/>
    <w:basedOn w:val="Style_3_ch"/>
    <w:link w:val="Style_36"/>
    <w:rPr>
      <w:sz w:val="18"/>
    </w:rPr>
  </w:style>
  <w:style w:styleId="Style_37" w:type="paragraph">
    <w:name w:val="heading 8"/>
    <w:basedOn w:val="Style_3"/>
    <w:next w:val="Style_3"/>
    <w:link w:val="Style_3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7_ch" w:type="character">
    <w:name w:val="heading 8"/>
    <w:basedOn w:val="Style_3_ch"/>
    <w:link w:val="Style_37"/>
    <w:rPr>
      <w:rFonts w:ascii="Arial" w:hAnsi="Arial"/>
      <w:i w:val="1"/>
      <w:sz w:val="22"/>
    </w:rPr>
  </w:style>
  <w:style w:styleId="Style_38" w:type="paragraph">
    <w:name w:val="toc 1"/>
    <w:next w:val="Style_3"/>
    <w:link w:val="Style_38_ch"/>
    <w:uiPriority w:val="39"/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endnote reference"/>
    <w:basedOn w:val="Style_12"/>
    <w:link w:val="Style_39_ch"/>
    <w:rPr>
      <w:vertAlign w:val="superscript"/>
    </w:rPr>
  </w:style>
  <w:style w:styleId="Style_39_ch" w:type="character">
    <w:name w:val="endnote reference"/>
    <w:basedOn w:val="Style_12_ch"/>
    <w:link w:val="Style_39"/>
    <w:rPr>
      <w:vertAlign w:val="superscript"/>
    </w:rPr>
  </w:style>
  <w:style w:styleId="Style_40" w:type="paragraph">
    <w:name w:val="Quote"/>
    <w:basedOn w:val="Style_3"/>
    <w:next w:val="Style_3"/>
    <w:link w:val="Style_40_ch"/>
    <w:pPr>
      <w:ind w:firstLine="0" w:left="720" w:right="720"/>
    </w:pPr>
    <w:rPr>
      <w:i w:val="1"/>
    </w:rPr>
  </w:style>
  <w:style w:styleId="Style_40_ch" w:type="character">
    <w:name w:val="Quote"/>
    <w:basedOn w:val="Style_3_ch"/>
    <w:link w:val="Style_40"/>
    <w:rPr>
      <w:i w:val="1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42" w:type="paragraph">
    <w:name w:val="toc 9"/>
    <w:next w:val="Style_3"/>
    <w:link w:val="Style_42_ch"/>
    <w:uiPriority w:val="39"/>
    <w:pPr>
      <w:ind w:firstLine="0" w:left="1600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TOC Heading"/>
    <w:link w:val="Style_43_ch"/>
  </w:style>
  <w:style w:styleId="Style_43_ch" w:type="character">
    <w:name w:val="TOC Heading"/>
    <w:link w:val="Style_43"/>
  </w:style>
  <w:style w:styleId="Style_44" w:type="paragraph">
    <w:name w:val="toc 8"/>
    <w:next w:val="Style_3"/>
    <w:link w:val="Style_44_ch"/>
    <w:uiPriority w:val="39"/>
    <w:pPr>
      <w:ind w:firstLine="0" w:left="1400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Header Char"/>
    <w:basedOn w:val="Style_12"/>
    <w:link w:val="Style_45_ch"/>
  </w:style>
  <w:style w:styleId="Style_45_ch" w:type="character">
    <w:name w:val="Header Char"/>
    <w:basedOn w:val="Style_12_ch"/>
    <w:link w:val="Style_45"/>
  </w:style>
  <w:style w:styleId="Style_46" w:type="paragraph">
    <w:name w:val="Intense Quote"/>
    <w:basedOn w:val="Style_3"/>
    <w:next w:val="Style_3"/>
    <w:link w:val="Style_46_ch"/>
    <w:pPr>
      <w:ind w:firstLine="0" w:left="720" w:right="720"/>
      <w:contextualSpacing w:val="0"/>
    </w:pPr>
    <w:rPr>
      <w:i w:val="1"/>
    </w:rPr>
  </w:style>
  <w:style w:styleId="Style_46_ch" w:type="character">
    <w:name w:val="Intense Quote"/>
    <w:basedOn w:val="Style_3_ch"/>
    <w:link w:val="Style_46"/>
    <w:rPr>
      <w:i w:val="1"/>
    </w:rPr>
  </w:style>
  <w:style w:styleId="Style_47" w:type="paragraph">
    <w:name w:val="Heading 1 Char"/>
    <w:basedOn w:val="Style_12"/>
    <w:link w:val="Style_47_ch"/>
    <w:rPr>
      <w:rFonts w:ascii="Arial" w:hAnsi="Arial"/>
      <w:sz w:val="40"/>
    </w:rPr>
  </w:style>
  <w:style w:styleId="Style_47_ch" w:type="character">
    <w:name w:val="Heading 1 Char"/>
    <w:basedOn w:val="Style_12_ch"/>
    <w:link w:val="Style_47"/>
    <w:rPr>
      <w:rFonts w:ascii="Arial" w:hAnsi="Arial"/>
      <w:sz w:val="40"/>
    </w:rPr>
  </w:style>
  <w:style w:styleId="Style_48" w:type="paragraph">
    <w:name w:val="toc 5"/>
    <w:next w:val="Style_3"/>
    <w:link w:val="Style_48_ch"/>
    <w:uiPriority w:val="39"/>
    <w:pPr>
      <w:ind w:firstLine="0" w:left="800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49" w:type="paragraph">
    <w:name w:val="Title Char"/>
    <w:basedOn w:val="Style_12"/>
    <w:link w:val="Style_49_ch"/>
    <w:rPr>
      <w:sz w:val="48"/>
    </w:rPr>
  </w:style>
  <w:style w:styleId="Style_49_ch" w:type="character">
    <w:name w:val="Title Char"/>
    <w:basedOn w:val="Style_12_ch"/>
    <w:link w:val="Style_49"/>
    <w:rPr>
      <w:sz w:val="48"/>
    </w:rPr>
  </w:style>
  <w:style w:styleId="Style_50" w:type="paragraph">
    <w:name w:val="annotation text"/>
    <w:basedOn w:val="Style_3"/>
    <w:link w:val="Style_50_ch"/>
    <w:pPr>
      <w:spacing w:line="240" w:lineRule="auto"/>
      <w:ind/>
    </w:pPr>
    <w:rPr>
      <w:sz w:val="20"/>
    </w:rPr>
  </w:style>
  <w:style w:styleId="Style_50_ch" w:type="character">
    <w:name w:val="annotation text"/>
    <w:basedOn w:val="Style_3_ch"/>
    <w:link w:val="Style_50"/>
    <w:rPr>
      <w:sz w:val="20"/>
    </w:rPr>
  </w:style>
  <w:style w:styleId="Style_51" w:type="paragraph">
    <w:name w:val="Subtitle"/>
    <w:next w:val="Style_3"/>
    <w:link w:val="Style_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Heading 3 Char"/>
    <w:basedOn w:val="Style_12"/>
    <w:link w:val="Style_52_ch"/>
    <w:rPr>
      <w:rFonts w:ascii="Arial" w:hAnsi="Arial"/>
      <w:sz w:val="30"/>
    </w:rPr>
  </w:style>
  <w:style w:styleId="Style_52_ch" w:type="character">
    <w:name w:val="Heading 3 Char"/>
    <w:basedOn w:val="Style_12_ch"/>
    <w:link w:val="Style_52"/>
    <w:rPr>
      <w:rFonts w:ascii="Arial" w:hAnsi="Arial"/>
      <w:sz w:val="30"/>
    </w:rPr>
  </w:style>
  <w:style w:styleId="Style_53" w:type="paragraph">
    <w:name w:val="Title"/>
    <w:next w:val="Style_3"/>
    <w:link w:val="Style_5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sz w:val="40"/>
    </w:rPr>
  </w:style>
  <w:style w:styleId="Style_54" w:type="paragraph">
    <w:name w:val="heading 4"/>
    <w:next w:val="Style_3"/>
    <w:link w:val="Style_5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55" w:type="paragraph">
    <w:name w:val="ConsPlusNormal"/>
    <w:link w:val="Style_55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55_ch" w:type="character">
    <w:name w:val="ConsPlusNormal"/>
    <w:link w:val="Style_55"/>
    <w:rPr>
      <w:rFonts w:ascii="Times New Roman" w:hAnsi="Times New Roman"/>
      <w:sz w:val="24"/>
    </w:rPr>
  </w:style>
  <w:style w:styleId="Style_56" w:type="paragraph">
    <w:name w:val="footnote reference"/>
    <w:basedOn w:val="Style_12"/>
    <w:link w:val="Style_56_ch"/>
    <w:rPr>
      <w:vertAlign w:val="superscript"/>
    </w:rPr>
  </w:style>
  <w:style w:styleId="Style_56_ch" w:type="character">
    <w:name w:val="footnote reference"/>
    <w:basedOn w:val="Style_12_ch"/>
    <w:link w:val="Style_56"/>
    <w:rPr>
      <w:vertAlign w:val="superscript"/>
    </w:rPr>
  </w:style>
  <w:style w:styleId="Style_57" w:type="paragraph">
    <w:name w:val="Heading 5 Char"/>
    <w:basedOn w:val="Style_12"/>
    <w:link w:val="Style_57_ch"/>
    <w:rPr>
      <w:rFonts w:ascii="Arial" w:hAnsi="Arial"/>
      <w:b w:val="1"/>
      <w:sz w:val="24"/>
    </w:rPr>
  </w:style>
  <w:style w:styleId="Style_57_ch" w:type="character">
    <w:name w:val="Heading 5 Char"/>
    <w:basedOn w:val="Style_12_ch"/>
    <w:link w:val="Style_57"/>
    <w:rPr>
      <w:rFonts w:ascii="Arial" w:hAnsi="Arial"/>
      <w:b w:val="1"/>
      <w:sz w:val="24"/>
    </w:rPr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annotation subject"/>
    <w:basedOn w:val="Style_50"/>
    <w:next w:val="Style_50"/>
    <w:link w:val="Style_59_ch"/>
    <w:rPr>
      <w:b w:val="1"/>
    </w:rPr>
  </w:style>
  <w:style w:styleId="Style_59_ch" w:type="character">
    <w:name w:val="annotation subject"/>
    <w:basedOn w:val="Style_50_ch"/>
    <w:link w:val="Style_59"/>
    <w:rPr>
      <w:b w:val="1"/>
    </w:rPr>
  </w:style>
  <w:style w:styleId="Style_60" w:type="paragraph">
    <w:name w:val="Основной шрифт абзаца2"/>
    <w:link w:val="Style_60_ch"/>
  </w:style>
  <w:style w:styleId="Style_60_ch" w:type="character">
    <w:name w:val="Основной шрифт абзаца2"/>
    <w:link w:val="Style_60"/>
  </w:style>
  <w:style w:styleId="Style_61" w:type="paragraph">
    <w:name w:val="heading 6"/>
    <w:basedOn w:val="Style_3"/>
    <w:next w:val="Style_3"/>
    <w:link w:val="Style_6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1_ch" w:type="character">
    <w:name w:val="heading 6"/>
    <w:basedOn w:val="Style_3_ch"/>
    <w:link w:val="Style_61"/>
    <w:rPr>
      <w:rFonts w:ascii="Arial" w:hAnsi="Arial"/>
      <w:b w:val="1"/>
      <w:sz w:val="22"/>
    </w:rPr>
  </w:style>
  <w:style w:styleId="Style_62" w:type="paragraph">
    <w:name w:val="No Spacing"/>
    <w:link w:val="Style_62_ch"/>
    <w:pPr>
      <w:spacing w:after="0" w:before="0" w:line="240" w:lineRule="auto"/>
      <w:ind/>
    </w:pPr>
  </w:style>
  <w:style w:styleId="Style_62_ch" w:type="character">
    <w:name w:val="No Spacing"/>
    <w:link w:val="Style_62"/>
  </w:style>
  <w:style w:styleId="Style_63" w:type="table">
    <w:name w:val="Grid Table 7 Colorful - Accent 5"/>
    <w:basedOn w:val="Style_64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65" w:type="table">
    <w:name w:val="Bordered &amp; Lined - Accent 6"/>
    <w:basedOn w:val="Style_6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66" w:type="table">
    <w:name w:val="Grid Table 6 Colorful - Accent 4"/>
    <w:basedOn w:val="Style_6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7" w:type="table">
    <w:name w:val="List Table 3 - Accent 1"/>
    <w:basedOn w:val="Style_64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68" w:type="table">
    <w:name w:val="Grid Table 2 - Accent 6"/>
    <w:basedOn w:val="Style_64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69" w:type="table">
    <w:name w:val="List Table 3 - Accent 4"/>
    <w:basedOn w:val="Style_6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70" w:type="table">
    <w:name w:val="Grid Table 5 Dark - Accent 2"/>
    <w:basedOn w:val="Style_6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1" w:type="table">
    <w:name w:val="List Table 5 Dark - Accent 1"/>
    <w:basedOn w:val="Style_64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72" w:type="table">
    <w:name w:val="List Table 6 Colorful - Accent 6"/>
    <w:basedOn w:val="Style_64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73" w:type="table">
    <w:name w:val="List Table 3 - Accent 3"/>
    <w:basedOn w:val="Style_64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74" w:type="table">
    <w:name w:val="Grid Table 4 - Accent 1"/>
    <w:basedOn w:val="Style_64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75" w:type="table">
    <w:name w:val="Grid Table 7 Colorful - Accent 1"/>
    <w:basedOn w:val="Style_64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76" w:type="table">
    <w:name w:val="Grid Table 5 Dark - Accent 6"/>
    <w:basedOn w:val="Style_6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7" w:type="table">
    <w:name w:val="Bordered - Accent 6"/>
    <w:basedOn w:val="Style_64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78" w:type="table">
    <w:name w:val="Bordered &amp; Lined - Accent 4"/>
    <w:basedOn w:val="Style_6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79" w:type="table">
    <w:name w:val="List Table 4 - Accent 4"/>
    <w:basedOn w:val="Style_6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80" w:type="table">
    <w:name w:val="Bordered - Accent 4"/>
    <w:basedOn w:val="Style_6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81" w:type="table">
    <w:name w:val="Lined - Accent 4"/>
    <w:basedOn w:val="Style_64"/>
    <w:pPr>
      <w:spacing w:after="0" w:line="240" w:lineRule="auto"/>
      <w:ind/>
    </w:pPr>
    <w:rPr>
      <w:color w:val="404040"/>
    </w:rPr>
    <w:tblPr>
      <w:tblInd w:type="dxa" w:w="0"/>
    </w:tblPr>
  </w:style>
  <w:style w:styleId="Style_82" w:type="table">
    <w:name w:val="List Table 4 - Accent 1"/>
    <w:basedOn w:val="Style_64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83" w:type="table">
    <w:name w:val="Plain Table 1"/>
    <w:basedOn w:val="Style_64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1 Light - Accent 5"/>
    <w:basedOn w:val="Style_64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85" w:type="table">
    <w:name w:val="List Table 6 Colorful - Accent 5"/>
    <w:basedOn w:val="Style_64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86" w:type="table">
    <w:name w:val="Bordered - Accent 5"/>
    <w:basedOn w:val="Style_64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87" w:type="table">
    <w:name w:val="List Table 2 - Accent 5"/>
    <w:basedOn w:val="Style_64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88" w:type="table">
    <w:name w:val="List Table 1 Light - Accent 1"/>
    <w:basedOn w:val="Style_64"/>
    <w:pPr>
      <w:spacing w:after="0" w:line="240" w:lineRule="auto"/>
      <w:ind/>
    </w:pPr>
    <w:tblPr>
      <w:tblInd w:type="dxa" w:w="0"/>
    </w:tblPr>
  </w:style>
  <w:style w:styleId="Style_89" w:type="table">
    <w:name w:val="Bordered &amp; Lined - Accent 1"/>
    <w:basedOn w:val="Style_6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90" w:type="table">
    <w:name w:val="Grid Table 1 Light - Accent 3"/>
    <w:basedOn w:val="Style_64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91" w:type="table">
    <w:name w:val="Grid Table 7 Colorful - Accent 2"/>
    <w:basedOn w:val="Style_64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2" w:type="table">
    <w:name w:val="Table Grid"/>
    <w:basedOn w:val="Style_6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" w:type="table">
    <w:name w:val="Grid Table 3"/>
    <w:basedOn w:val="Style_64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94" w:type="table">
    <w:name w:val="Lined - Accent 5"/>
    <w:basedOn w:val="Style_64"/>
    <w:pPr>
      <w:spacing w:after="0" w:line="240" w:lineRule="auto"/>
      <w:ind/>
    </w:pPr>
    <w:rPr>
      <w:color w:val="404040"/>
    </w:rPr>
    <w:tblPr>
      <w:tblInd w:type="dxa" w:w="0"/>
    </w:tblPr>
  </w:style>
  <w:style w:styleId="Style_95" w:type="table">
    <w:name w:val="List Table 7 Colorful - Accent 1"/>
    <w:basedOn w:val="Style_64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96" w:type="table">
    <w:name w:val="Grid Table 7 Colorful - Accent 4"/>
    <w:basedOn w:val="Style_64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7" w:type="table">
    <w:name w:val="Lined - Accent 6"/>
    <w:basedOn w:val="Style_64"/>
    <w:pPr>
      <w:spacing w:after="0" w:line="240" w:lineRule="auto"/>
      <w:ind/>
    </w:pPr>
    <w:rPr>
      <w:color w:val="404040"/>
    </w:rPr>
    <w:tblPr>
      <w:tblInd w:type="dxa" w:w="0"/>
    </w:tblPr>
  </w:style>
  <w:style w:styleId="Style_98" w:type="table">
    <w:name w:val="Grid Table 6 Colorful"/>
    <w:basedOn w:val="Style_64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9" w:type="table">
    <w:name w:val="List Table 4 - Accent 3"/>
    <w:basedOn w:val="Style_64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00" w:type="table">
    <w:name w:val="Grid Table 6 Colorful - Accent 3"/>
    <w:basedOn w:val="Style_64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1" w:type="table">
    <w:name w:val="Grid Table 1 Light - Accent 1"/>
    <w:basedOn w:val="Style_64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2" w:type="table">
    <w:name w:val="Grid Table 6 Colorful - Accent 2"/>
    <w:basedOn w:val="Style_64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3" w:type="table">
    <w:name w:val="Grid Table 5 Dark- Accent 4"/>
    <w:basedOn w:val="Style_6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4" w:type="table">
    <w:name w:val="Lined - Accent 3"/>
    <w:basedOn w:val="Style_64"/>
    <w:pPr>
      <w:spacing w:after="0" w:line="240" w:lineRule="auto"/>
      <w:ind/>
    </w:pPr>
    <w:rPr>
      <w:color w:val="404040"/>
    </w:rPr>
    <w:tblPr>
      <w:tblInd w:type="dxa" w:w="0"/>
    </w:tblPr>
  </w:style>
  <w:style w:styleId="Style_105" w:type="table">
    <w:name w:val="Grid Table 3 - Accent 3"/>
    <w:basedOn w:val="Style_64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6" w:type="table">
    <w:name w:val="List Table 6 Colorful - Accent 2"/>
    <w:basedOn w:val="Style_64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07" w:type="table">
    <w:name w:val="Bordered &amp; Lined - Accent"/>
    <w:basedOn w:val="Style_64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08" w:type="table">
    <w:name w:val="List Table 3 - Accent 2"/>
    <w:basedOn w:val="Style_64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09" w:type="table">
    <w:name w:val="List Table 5 Dark - Accent 6"/>
    <w:basedOn w:val="Style_64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10" w:type="table">
    <w:name w:val="List Table 5 Dark - Accent 5"/>
    <w:basedOn w:val="Style_64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11" w:type="table">
    <w:name w:val="List Table 5 Dark - Accent 2"/>
    <w:basedOn w:val="Style_64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12" w:type="table">
    <w:name w:val="List Table 7 Colorful - Accent 3"/>
    <w:basedOn w:val="Style_64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13" w:type="table">
    <w:name w:val="Bordered &amp; Lined - Accent 5"/>
    <w:basedOn w:val="Style_6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14" w:type="table">
    <w:name w:val="Grid Table 4 - Accent 3"/>
    <w:basedOn w:val="Style_64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15" w:type="table">
    <w:name w:val="Grid Table 2 - Accent 1"/>
    <w:basedOn w:val="Style_64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6" w:type="table">
    <w:name w:val="List Table 1 Light - Accent 6"/>
    <w:basedOn w:val="Style_64"/>
    <w:pPr>
      <w:spacing w:after="0" w:line="240" w:lineRule="auto"/>
      <w:ind/>
    </w:pPr>
    <w:tblPr>
      <w:tblInd w:type="dxa" w:w="0"/>
    </w:tblPr>
  </w:style>
  <w:style w:styleId="Style_117" w:type="table">
    <w:name w:val="Grid Table 2"/>
    <w:basedOn w:val="Style_64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18" w:type="table">
    <w:name w:val="Grid Table 7 Colorful - Accent 3"/>
    <w:basedOn w:val="Style_64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9" w:type="table">
    <w:name w:val="Grid Table 7 Colorful - Accent 6"/>
    <w:basedOn w:val="Style_64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0" w:type="table">
    <w:name w:val="Bordered &amp; Lined - Accent 2"/>
    <w:basedOn w:val="Style_6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21" w:type="table">
    <w:name w:val="List Table 2 - Accent 6"/>
    <w:basedOn w:val="Style_64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22" w:type="table">
    <w:name w:val="List Table 7 Colorful - Accent 6"/>
    <w:basedOn w:val="Style_64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23" w:type="table">
    <w:name w:val="List Table 7 Colorful - Accent 2"/>
    <w:basedOn w:val="Style_64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24" w:type="table">
    <w:name w:val="List Table 6 Colorful - Accent 3"/>
    <w:basedOn w:val="Style_64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25" w:type="table">
    <w:name w:val="Lined - Accent 1"/>
    <w:basedOn w:val="Style_64"/>
    <w:pPr>
      <w:spacing w:after="0" w:line="240" w:lineRule="auto"/>
      <w:ind/>
    </w:pPr>
    <w:rPr>
      <w:color w:val="404040"/>
    </w:rPr>
    <w:tblPr>
      <w:tblInd w:type="dxa" w:w="0"/>
    </w:tblPr>
  </w:style>
  <w:style w:styleId="Style_126" w:type="table">
    <w:name w:val="List Table 3"/>
    <w:basedOn w:val="Style_6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27" w:type="table">
    <w:name w:val="List Table 1 Light - Accent 3"/>
    <w:basedOn w:val="Style_64"/>
    <w:pPr>
      <w:spacing w:after="0" w:line="240" w:lineRule="auto"/>
      <w:ind/>
    </w:pPr>
    <w:tblPr>
      <w:tblInd w:type="dxa" w:w="0"/>
    </w:tblPr>
  </w:style>
  <w:style w:styleId="Style_128" w:type="table">
    <w:name w:val="List Table 7 Colorful - Accent 5"/>
    <w:basedOn w:val="Style_64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29" w:type="table">
    <w:name w:val="Grid Table 3 - Accent 6"/>
    <w:basedOn w:val="Style_64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0" w:type="table">
    <w:name w:val="List Table 7 Colorful - Accent 4"/>
    <w:basedOn w:val="Style_64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31" w:type="table">
    <w:name w:val="List Table 1 Light - Accent 5"/>
    <w:basedOn w:val="Style_64"/>
    <w:pPr>
      <w:spacing w:after="0" w:line="240" w:lineRule="auto"/>
      <w:ind/>
    </w:pPr>
    <w:tblPr>
      <w:tblInd w:type="dxa" w:w="0"/>
    </w:tblPr>
  </w:style>
  <w:style w:styleId="Style_132" w:type="table">
    <w:name w:val="List Table 4 - Accent 6"/>
    <w:basedOn w:val="Style_64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33" w:type="table">
    <w:name w:val="Grid Table 5 Dark- Accent 1"/>
    <w:basedOn w:val="Style_6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4" w:type="table">
    <w:name w:val="List Table 5 Dark - Accent 3"/>
    <w:basedOn w:val="Style_64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35" w:type="table">
    <w:name w:val="Grid Table 5 Dark - Accent 5"/>
    <w:basedOn w:val="Style_6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6" w:type="table">
    <w:name w:val="List Table 3 - Accent 5"/>
    <w:basedOn w:val="Style_64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37" w:type="table">
    <w:name w:val="List Table 6 Colorful"/>
    <w:basedOn w:val="Style_64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38" w:type="table">
    <w:name w:val="Grid Table 1 Light - Accent 2"/>
    <w:basedOn w:val="Style_64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9" w:type="table">
    <w:name w:val="Grid Table 3 - Accent 5"/>
    <w:basedOn w:val="Style_64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0" w:type="table">
    <w:name w:val="List Table 2 - Accent 2"/>
    <w:basedOn w:val="Style_64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41" w:type="table">
    <w:name w:val="Grid Table 4 - Accent 4"/>
    <w:basedOn w:val="Style_6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42" w:type="table">
    <w:name w:val="Table Grid Light"/>
    <w:basedOn w:val="Style_64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6 Colorful - Accent 6"/>
    <w:basedOn w:val="Style_64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4" w:type="table">
    <w:name w:val="Plain Table 2"/>
    <w:basedOn w:val="Style_6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5 Dark - Accent 4"/>
    <w:basedOn w:val="Style_64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46" w:type="table">
    <w:name w:val="Bordered &amp; Lined - Accent 3"/>
    <w:basedOn w:val="Style_6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47" w:type="table">
    <w:name w:val="Grid Table 2 - Accent 5"/>
    <w:basedOn w:val="Style_64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8" w:type="table">
    <w:name w:val="Grid Table 2 - Accent 4"/>
    <w:basedOn w:val="Style_6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9" w:type="table">
    <w:name w:val="Grid Table 1 Light - Accent 6"/>
    <w:basedOn w:val="Style_64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default="1" w:styleId="Style_6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7 Colorful"/>
    <w:basedOn w:val="Style_64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51" w:type="table">
    <w:name w:val="List Table 4 - Accent 5"/>
    <w:basedOn w:val="Style_64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2" w:type="table">
    <w:name w:val="Grid Table 1 Light"/>
    <w:basedOn w:val="Style_64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53" w:type="table">
    <w:name w:val="Lined - Accent"/>
    <w:basedOn w:val="Style_64"/>
    <w:pPr>
      <w:spacing w:after="0" w:line="240" w:lineRule="auto"/>
      <w:ind/>
    </w:pPr>
    <w:rPr>
      <w:color w:val="404040"/>
    </w:rPr>
    <w:tblPr>
      <w:tblInd w:type="dxa" w:w="0"/>
    </w:tblPr>
  </w:style>
  <w:style w:styleId="Style_154" w:type="table">
    <w:name w:val="Grid Table 2 - Accent 2"/>
    <w:basedOn w:val="Style_64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5" w:type="table">
    <w:name w:val="Plain Table 4"/>
    <w:basedOn w:val="Style_64"/>
    <w:pPr>
      <w:spacing w:after="0" w:line="240" w:lineRule="auto"/>
      <w:ind/>
    </w:pPr>
    <w:tblPr>
      <w:tblInd w:type="dxa" w:w="0"/>
    </w:tblPr>
  </w:style>
  <w:style w:styleId="Style_156" w:type="table">
    <w:name w:val="Grid Table 5 Dark - Accent 3"/>
    <w:basedOn w:val="Style_6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7" w:type="table">
    <w:name w:val="Grid Table 4"/>
    <w:basedOn w:val="Style_64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58" w:type="table">
    <w:name w:val="Plain Table 3"/>
    <w:basedOn w:val="Style_64"/>
    <w:pPr>
      <w:spacing w:after="0" w:line="240" w:lineRule="auto"/>
      <w:ind/>
    </w:pPr>
    <w:tblPr>
      <w:tblInd w:type="dxa" w:w="0"/>
    </w:tblPr>
  </w:style>
  <w:style w:styleId="Style_159" w:type="table">
    <w:name w:val="Grid Table 2 - Accent 3"/>
    <w:basedOn w:val="Style_64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0" w:type="table">
    <w:name w:val="Grid Table 1 Light - Accent 4"/>
    <w:basedOn w:val="Style_6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1" w:type="table">
    <w:name w:val="Grid Table 4 - Accent 5"/>
    <w:basedOn w:val="Style_64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2" w:type="table">
    <w:name w:val="Lined - Accent 2"/>
    <w:basedOn w:val="Style_64"/>
    <w:pPr>
      <w:spacing w:after="0" w:line="240" w:lineRule="auto"/>
      <w:ind/>
    </w:pPr>
    <w:rPr>
      <w:color w:val="404040"/>
    </w:rPr>
    <w:tblPr>
      <w:tblInd w:type="dxa" w:w="0"/>
    </w:tblPr>
  </w:style>
  <w:style w:styleId="Style_163" w:type="table">
    <w:name w:val="List Table 1 Light"/>
    <w:basedOn w:val="Style_64"/>
    <w:pPr>
      <w:spacing w:after="0" w:line="240" w:lineRule="auto"/>
      <w:ind/>
    </w:pPr>
    <w:tblPr>
      <w:tblInd w:type="dxa" w:w="0"/>
    </w:tblPr>
  </w:style>
  <w:style w:styleId="Style_164" w:type="table">
    <w:name w:val="List Table 2"/>
    <w:basedOn w:val="Style_64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65" w:type="table">
    <w:name w:val="Grid Table 3 - Accent 4"/>
    <w:basedOn w:val="Style_6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6" w:type="table">
    <w:name w:val="List Table 3 - Accent 6"/>
    <w:basedOn w:val="Style_64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67" w:type="table">
    <w:name w:val="List Table 6 Colorful - Accent 1"/>
    <w:basedOn w:val="Style_64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68" w:type="table">
    <w:name w:val="List Table 4 - Accent 2"/>
    <w:basedOn w:val="Style_64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69" w:type="table">
    <w:name w:val="List Table 6 Colorful - Accent 4"/>
    <w:basedOn w:val="Style_64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70" w:type="table">
    <w:name w:val="Grid Table 4 - Accent 6"/>
    <w:basedOn w:val="Style_64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71" w:type="table">
    <w:name w:val="Grid Table 3 - Accent 2"/>
    <w:basedOn w:val="Style_64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72" w:type="table">
    <w:name w:val="List Table 2 - Accent 1"/>
    <w:basedOn w:val="Style_64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73" w:type="table">
    <w:name w:val="Grid Table 5 Dark"/>
    <w:basedOn w:val="Style_6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4" w:type="table">
    <w:name w:val="Bordered - Accent 2"/>
    <w:basedOn w:val="Style_64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75" w:type="table">
    <w:name w:val="Grid Table 3 - Accent 1"/>
    <w:basedOn w:val="Style_64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6" w:type="table">
    <w:name w:val="Grid Table 6 Colorful - Accent 5"/>
    <w:basedOn w:val="Style_64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77" w:type="table">
    <w:name w:val="Bordered"/>
    <w:basedOn w:val="Style_64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78" w:type="table">
    <w:name w:val="Bordered - Accent 1"/>
    <w:basedOn w:val="Style_64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9" w:type="table">
    <w:name w:val="Grid Table 4 - Accent 2"/>
    <w:basedOn w:val="Style_64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80" w:type="table">
    <w:name w:val="List Table 2 - Accent 3"/>
    <w:basedOn w:val="Style_64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81" w:type="table">
    <w:name w:val="Grid Table 6 Colorful - Accent 1"/>
    <w:basedOn w:val="Style_64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82" w:type="table">
    <w:name w:val="Bordered - Accent 3"/>
    <w:basedOn w:val="Style_64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83" w:type="table">
    <w:name w:val="List Table 4"/>
    <w:basedOn w:val="Style_6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84" w:type="table">
    <w:name w:val="Plain Table 5"/>
    <w:basedOn w:val="Style_64"/>
    <w:pPr>
      <w:spacing w:after="0" w:line="240" w:lineRule="auto"/>
      <w:ind/>
    </w:pPr>
    <w:tblPr>
      <w:tblInd w:type="dxa" w:w="0"/>
    </w:tblPr>
  </w:style>
  <w:style w:styleId="Style_185" w:type="table">
    <w:name w:val="List Table 1 Light - Accent 4"/>
    <w:basedOn w:val="Style_64"/>
    <w:pPr>
      <w:spacing w:after="0" w:line="240" w:lineRule="auto"/>
      <w:ind/>
    </w:pPr>
    <w:tblPr>
      <w:tblInd w:type="dxa" w:w="0"/>
    </w:tblPr>
  </w:style>
  <w:style w:styleId="Style_186" w:type="table">
    <w:name w:val="List Table 5 Dark"/>
    <w:basedOn w:val="Style_64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87" w:type="table">
    <w:name w:val="List Table 7 Colorful"/>
    <w:basedOn w:val="Style_64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88" w:type="table">
    <w:name w:val="List Table 1 Light - Accent 2"/>
    <w:basedOn w:val="Style_64"/>
    <w:pPr>
      <w:spacing w:after="0" w:line="240" w:lineRule="auto"/>
      <w:ind/>
    </w:pPr>
    <w:tblPr>
      <w:tblInd w:type="dxa" w:w="0"/>
    </w:tblPr>
  </w:style>
  <w:style w:styleId="Style_189" w:type="table">
    <w:name w:val="List Table 2 - Accent 4"/>
    <w:basedOn w:val="Style_64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2023-10-12T05:43:01Z</dcterms:modified>
</cp:coreProperties>
</file>