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</w:p>
    <w:p w14:paraId="02000000">
      <w:pPr>
        <w:pStyle w:val="Style_1"/>
        <w:tabs>
          <w:tab w:leader="none" w:pos="3119" w:val="left"/>
        </w:tabs>
        <w:spacing w:before="0" w:line="276" w:lineRule="auto"/>
        <w:ind/>
        <w:jc w:val="center"/>
        <w:rPr>
          <w:sz w:val="28"/>
        </w:rPr>
      </w:pPr>
      <w:r>
        <w:rPr>
          <w:sz w:val="28"/>
        </w:rPr>
        <w:t>ДОКЛАД</w:t>
      </w:r>
    </w:p>
    <w:p w14:paraId="03000000">
      <w:pPr>
        <w:pStyle w:val="Style_1"/>
        <w:tabs>
          <w:tab w:leader="none" w:pos="3119" w:val="left"/>
        </w:tabs>
        <w:spacing w:before="0" w:line="276" w:lineRule="auto"/>
        <w:ind/>
        <w:jc w:val="center"/>
        <w:rPr>
          <w:sz w:val="28"/>
        </w:rPr>
      </w:pPr>
      <w:r>
        <w:rPr>
          <w:sz w:val="28"/>
        </w:rPr>
        <w:t xml:space="preserve"> об организации в </w:t>
      </w:r>
      <w:r>
        <w:rPr>
          <w:sz w:val="28"/>
        </w:rPr>
        <w:t>Министерстве здравоохранения</w:t>
      </w:r>
      <w:r>
        <w:rPr>
          <w:sz w:val="28"/>
        </w:rPr>
        <w:t xml:space="preserve"> Камчатского</w:t>
      </w:r>
    </w:p>
    <w:p w14:paraId="04000000">
      <w:pPr>
        <w:pStyle w:val="Style_1"/>
        <w:spacing w:before="0" w:line="276" w:lineRule="auto"/>
        <w:ind/>
        <w:jc w:val="center"/>
        <w:rPr>
          <w:sz w:val="28"/>
        </w:rPr>
      </w:pPr>
      <w:r>
        <w:rPr>
          <w:sz w:val="28"/>
        </w:rPr>
        <w:t>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14:paraId="05000000">
      <w:pPr>
        <w:pStyle w:val="Style_1"/>
        <w:spacing w:before="0"/>
        <w:ind/>
        <w:jc w:val="center"/>
        <w:rPr>
          <w:sz w:val="28"/>
        </w:rPr>
      </w:pPr>
      <w:r>
        <w:rPr>
          <w:sz w:val="28"/>
        </w:rPr>
        <w:t>за 2023 год</w:t>
      </w:r>
    </w:p>
    <w:p w14:paraId="06000000">
      <w:pPr>
        <w:pStyle w:val="Style_1"/>
        <w:spacing w:before="0"/>
        <w:ind/>
        <w:jc w:val="center"/>
        <w:rPr>
          <w:sz w:val="28"/>
        </w:rPr>
      </w:pPr>
    </w:p>
    <w:p w14:paraId="07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 xml:space="preserve">В целях организации системы внутреннего обеспечения соответствия требованиям антимонопольного законодательства (антимонопольного комплаенса) в </w:t>
      </w:r>
      <w:r>
        <w:rPr>
          <w:sz w:val="28"/>
        </w:rPr>
        <w:t xml:space="preserve">Министерстве здравоохранения </w:t>
      </w:r>
      <w:r>
        <w:rPr>
          <w:sz w:val="28"/>
        </w:rPr>
        <w:t xml:space="preserve">Камчатского края (далее - </w:t>
      </w:r>
      <w:r>
        <w:rPr>
          <w:sz w:val="28"/>
        </w:rPr>
        <w:t>Министерство</w:t>
      </w:r>
      <w:r>
        <w:rPr>
          <w:sz w:val="28"/>
        </w:rPr>
        <w:t xml:space="preserve">) разработан План мероприятий по организации в </w:t>
      </w:r>
      <w:r>
        <w:rPr>
          <w:sz w:val="28"/>
        </w:rPr>
        <w:t>Министерстве</w:t>
      </w:r>
      <w:r>
        <w:rPr>
          <w:sz w:val="28"/>
        </w:rPr>
        <w:t xml:space="preserve"> системы внутреннего обеспечения соответствия требованиям антимонопольного законодательства (антимонопольном комплаенса) (далее - План мероприятий).</w:t>
      </w:r>
    </w:p>
    <w:p w14:paraId="08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 xml:space="preserve">Мероприятия по организации в </w:t>
      </w:r>
      <w:r>
        <w:rPr>
          <w:sz w:val="28"/>
        </w:rPr>
        <w:t>Министерстве</w:t>
      </w:r>
      <w:r>
        <w:rPr>
          <w:sz w:val="28"/>
        </w:rPr>
        <w:t xml:space="preserve"> системы внутреннего обеспечения соответствия требованиям антимонопольного законодательства (антимонопольном комплаенса) включают:</w:t>
      </w:r>
    </w:p>
    <w:p w14:paraId="09000000">
      <w:pPr>
        <w:pStyle w:val="Style_2"/>
        <w:numPr>
          <w:ilvl w:val="0"/>
          <w:numId w:val="1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Организация </w:t>
      </w:r>
      <w:r>
        <w:rPr>
          <w:sz w:val="28"/>
        </w:rPr>
        <w:t>антимонопольного комплаенса</w:t>
      </w:r>
      <w:r>
        <w:rPr>
          <w:sz w:val="28"/>
        </w:rPr>
        <w:t>.</w:t>
      </w:r>
    </w:p>
    <w:p w14:paraId="0A000000">
      <w:pPr>
        <w:pStyle w:val="Style_2"/>
        <w:numPr>
          <w:ilvl w:val="1"/>
          <w:numId w:val="2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Назначение должностных лиц, ответственных за организацию в </w:t>
      </w:r>
      <w:r>
        <w:rPr>
          <w:sz w:val="28"/>
        </w:rPr>
        <w:t>Министерстве</w:t>
      </w:r>
      <w:r>
        <w:rPr>
          <w:sz w:val="28"/>
        </w:rPr>
        <w:t xml:space="preserve"> антимонопольного комплаенса</w:t>
      </w:r>
      <w:r>
        <w:rPr>
          <w:sz w:val="28"/>
        </w:rPr>
        <w:t>;</w:t>
      </w:r>
    </w:p>
    <w:p w14:paraId="0B000000">
      <w:pPr>
        <w:pStyle w:val="Style_2"/>
        <w:numPr>
          <w:ilvl w:val="1"/>
          <w:numId w:val="2"/>
        </w:numPr>
        <w:spacing w:before="0"/>
        <w:ind w:firstLine="720" w:left="0"/>
        <w:rPr>
          <w:sz w:val="28"/>
        </w:rPr>
      </w:pPr>
      <w:r>
        <w:rPr>
          <w:sz w:val="28"/>
        </w:rPr>
        <w:t>Принятие правового акта об организации системы внутреннего обеспечения соответствия требованиям антимонопольного законодательства (далее – правовой акт)</w:t>
      </w:r>
      <w:r>
        <w:rPr>
          <w:sz w:val="28"/>
        </w:rPr>
        <w:t>.</w:t>
      </w:r>
    </w:p>
    <w:p w14:paraId="0C000000">
      <w:pPr>
        <w:pStyle w:val="Style_2"/>
        <w:numPr>
          <w:ilvl w:val="0"/>
          <w:numId w:val="1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 Выявление и оценка рисков нарушения антимонопольного законодательства:</w:t>
      </w:r>
    </w:p>
    <w:p w14:paraId="0D000000">
      <w:pPr>
        <w:pStyle w:val="Style_2"/>
        <w:numPr>
          <w:ilvl w:val="1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роведение анализа выявленных нарушений антимонопольного законодательства, за предыдущие 3 года;</w:t>
      </w:r>
    </w:p>
    <w:p w14:paraId="0E000000">
      <w:pPr>
        <w:pStyle w:val="Style_2"/>
        <w:numPr>
          <w:ilvl w:val="1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роведение анализа действующих нормативных правовых актов </w:t>
      </w:r>
      <w:r>
        <w:rPr>
          <w:sz w:val="28"/>
        </w:rPr>
        <w:t>Министерства</w:t>
      </w:r>
      <w:r>
        <w:rPr>
          <w:sz w:val="28"/>
        </w:rPr>
        <w:t>;</w:t>
      </w:r>
    </w:p>
    <w:p w14:paraId="0F000000">
      <w:pPr>
        <w:pStyle w:val="Style_2"/>
        <w:numPr>
          <w:ilvl w:val="1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 А</w:t>
      </w:r>
      <w:r>
        <w:rPr>
          <w:sz w:val="28"/>
        </w:rPr>
        <w:t xml:space="preserve">нализ проектов нормативных правовых актов, разрабатываемых </w:t>
      </w:r>
      <w:r>
        <w:rPr>
          <w:sz w:val="28"/>
        </w:rPr>
        <w:t>Министерством</w:t>
      </w:r>
      <w:r>
        <w:rPr>
          <w:sz w:val="28"/>
        </w:rPr>
        <w:t>;</w:t>
      </w:r>
    </w:p>
    <w:p w14:paraId="10000000">
      <w:pPr>
        <w:pStyle w:val="Style_2"/>
        <w:numPr>
          <w:ilvl w:val="1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 П</w:t>
      </w:r>
      <w:r>
        <w:rPr>
          <w:sz w:val="28"/>
        </w:rPr>
        <w:t xml:space="preserve">роведение мониторинга и анализа практики применения </w:t>
      </w:r>
      <w:r>
        <w:rPr>
          <w:sz w:val="28"/>
        </w:rPr>
        <w:t xml:space="preserve">в Министерстве </w:t>
      </w:r>
      <w:r>
        <w:rPr>
          <w:sz w:val="28"/>
        </w:rPr>
        <w:t>антимонопольного законодательства;</w:t>
      </w:r>
    </w:p>
    <w:p w14:paraId="11000000">
      <w:pPr>
        <w:pStyle w:val="Style_2"/>
        <w:numPr>
          <w:ilvl w:val="1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>ыявления рисков нарушения антимонопольного законодательства.</w:t>
      </w:r>
    </w:p>
    <w:p w14:paraId="12000000">
      <w:pPr>
        <w:pStyle w:val="Style_2"/>
        <w:numPr>
          <w:ilvl w:val="0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Мероприятия по снижению рисков нарушения антимонопольного законодательства</w:t>
      </w:r>
      <w:r>
        <w:rPr>
          <w:sz w:val="28"/>
        </w:rPr>
        <w:t>:</w:t>
      </w:r>
    </w:p>
    <w:p w14:paraId="13000000">
      <w:pPr>
        <w:pStyle w:val="Style_2"/>
        <w:numPr>
          <w:ilvl w:val="1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азработка плана мероприятий («дорожной карты») по снижению рисков нарушения антимонопольного законодательства</w:t>
      </w:r>
      <w:r>
        <w:rPr>
          <w:sz w:val="28"/>
        </w:rPr>
        <w:t>;</w:t>
      </w:r>
    </w:p>
    <w:p w14:paraId="14000000">
      <w:pPr>
        <w:pStyle w:val="Style_2"/>
        <w:numPr>
          <w:ilvl w:val="1"/>
          <w:numId w:val="3"/>
        </w:numPr>
        <w:spacing w:before="0"/>
        <w:ind w:firstLine="720" w:left="0"/>
        <w:rPr>
          <w:sz w:val="28"/>
        </w:rPr>
      </w:pPr>
      <w:r>
        <w:rPr>
          <w:sz w:val="28"/>
        </w:rPr>
        <w:t>М</w:t>
      </w:r>
      <w:r>
        <w:rPr>
          <w:sz w:val="28"/>
        </w:rPr>
        <w:t>ониторинг исполнения плана мероприятий («дорожных карт») по снижению рисков нарушения антимонопольного законодательства</w:t>
      </w:r>
      <w:r>
        <w:rPr>
          <w:sz w:val="28"/>
        </w:rPr>
        <w:t>.</w:t>
      </w:r>
    </w:p>
    <w:p w14:paraId="15000000">
      <w:pPr>
        <w:pStyle w:val="Style_2"/>
        <w:numPr>
          <w:ilvl w:val="0"/>
          <w:numId w:val="3"/>
        </w:numPr>
        <w:spacing w:before="0"/>
        <w:ind w:firstLine="709" w:left="0"/>
        <w:rPr>
          <w:sz w:val="28"/>
        </w:rPr>
      </w:pPr>
      <w:r>
        <w:rPr>
          <w:sz w:val="28"/>
        </w:rPr>
        <w:t>Оценка эффективности функционирования антимонопольного комплаенса</w:t>
      </w:r>
      <w:r>
        <w:rPr>
          <w:sz w:val="28"/>
        </w:rPr>
        <w:t>.</w:t>
      </w:r>
    </w:p>
    <w:p w14:paraId="16000000">
      <w:pPr>
        <w:pStyle w:val="Style_2"/>
        <w:numPr>
          <w:ilvl w:val="1"/>
          <w:numId w:val="4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 Проведение оценки достижения ключевых показателей эффективности реализации мероприятий антимонопольного комплаенса.</w:t>
      </w:r>
    </w:p>
    <w:p w14:paraId="17000000">
      <w:pPr>
        <w:pStyle w:val="Style_2"/>
        <w:spacing w:before="0"/>
        <w:ind w:firstLine="700" w:left="0"/>
        <w:rPr>
          <w:sz w:val="28"/>
        </w:rPr>
      </w:pPr>
      <w:r>
        <w:rPr>
          <w:sz w:val="28"/>
        </w:rPr>
        <w:t>По состоянию на 01.01.2024</w:t>
      </w:r>
      <w:r>
        <w:rPr>
          <w:sz w:val="28"/>
        </w:rPr>
        <w:t xml:space="preserve"> </w:t>
      </w:r>
      <w:r>
        <w:rPr>
          <w:sz w:val="28"/>
        </w:rPr>
        <w:t xml:space="preserve">реализованы </w:t>
      </w:r>
      <w:r>
        <w:rPr>
          <w:sz w:val="28"/>
        </w:rPr>
        <w:t>следующие</w:t>
      </w:r>
      <w:r>
        <w:rPr>
          <w:sz w:val="28"/>
        </w:rPr>
        <w:t xml:space="preserve"> мероприятия,</w:t>
      </w:r>
      <w:r>
        <w:rPr>
          <w:sz w:val="28"/>
        </w:rPr>
        <w:t xml:space="preserve"> предусмотренные Планом мероприятий:</w:t>
      </w:r>
    </w:p>
    <w:p w14:paraId="18000000">
      <w:pPr>
        <w:pStyle w:val="Style_2"/>
        <w:numPr>
          <w:ilvl w:val="0"/>
          <w:numId w:val="5"/>
        </w:numPr>
        <w:spacing w:before="0"/>
        <w:ind w:firstLine="700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Приказом </w:t>
      </w:r>
      <w:r>
        <w:rPr>
          <w:sz w:val="28"/>
        </w:rPr>
        <w:t xml:space="preserve">Министерства </w:t>
      </w:r>
      <w:r>
        <w:rPr>
          <w:sz w:val="28"/>
        </w:rPr>
        <w:t xml:space="preserve">от </w:t>
      </w:r>
      <w:r>
        <w:rPr>
          <w:sz w:val="28"/>
        </w:rPr>
        <w:t>22</w:t>
      </w:r>
      <w:r>
        <w:rPr>
          <w:sz w:val="28"/>
        </w:rPr>
        <w:t>.0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19</w:t>
      </w:r>
      <w:r>
        <w:rPr>
          <w:sz w:val="28"/>
        </w:rPr>
        <w:t xml:space="preserve"> № </w:t>
      </w:r>
      <w:r>
        <w:rPr>
          <w:sz w:val="28"/>
        </w:rPr>
        <w:t>111</w:t>
      </w:r>
      <w:r>
        <w:rPr>
          <w:sz w:val="28"/>
        </w:rPr>
        <w:t xml:space="preserve"> «Об организации</w:t>
      </w:r>
      <w:r>
        <w:rPr>
          <w:sz w:val="28"/>
        </w:rPr>
        <w:t xml:space="preserve"> системы внутреннего обеспечения соответствия требованиям антимонопольного законодательства в </w:t>
      </w:r>
      <w:r>
        <w:rPr>
          <w:sz w:val="28"/>
        </w:rPr>
        <w:t>Министерстве</w:t>
      </w:r>
      <w:r>
        <w:rPr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z w:val="28"/>
        </w:rPr>
        <w:t xml:space="preserve"> Камчатского края» утверждено Положение об организации системы внутреннего обеспечения соответствия требованиям антимонопольного законодательства (антимонопольный комплаенс), которым урегулирован порядок функционирования антимонопольного комплаенса в </w:t>
      </w:r>
      <w:r>
        <w:rPr>
          <w:sz w:val="28"/>
        </w:rPr>
        <w:t>Министерстве</w:t>
      </w:r>
      <w:r>
        <w:rPr>
          <w:sz w:val="28"/>
        </w:rPr>
        <w:t xml:space="preserve"> (далее - Положение об антимонопольном комплаенсе). Документы размещены</w:t>
      </w:r>
      <w:r>
        <w:rPr>
          <w:sz w:val="28"/>
        </w:rPr>
        <w:t xml:space="preserve"> на официальном сайте </w:t>
      </w:r>
      <w:r>
        <w:rPr>
          <w:sz w:val="28"/>
        </w:rPr>
        <w:t xml:space="preserve">органа власти по ссылке: </w:t>
      </w:r>
      <w:r>
        <w:rPr>
          <w:sz w:val="28"/>
        </w:rPr>
        <w:t>https://www.kamgov.ru/minzdrav/antimonopolnyj-komplaens</w:t>
      </w:r>
      <w:r>
        <w:rPr>
          <w:sz w:val="28"/>
        </w:rPr>
        <w:t>.</w:t>
      </w:r>
    </w:p>
    <w:p w14:paraId="19000000">
      <w:pPr>
        <w:pStyle w:val="Style_2"/>
        <w:spacing w:before="0"/>
        <w:ind w:firstLine="700" w:left="0"/>
        <w:rPr>
          <w:sz w:val="28"/>
        </w:rPr>
      </w:pPr>
      <w:r>
        <w:rPr>
          <w:sz w:val="28"/>
        </w:rPr>
        <w:t>Приказом Министерства от 22.02.2019 № 111/1 назначены</w:t>
      </w:r>
      <w:r>
        <w:rPr>
          <w:sz w:val="28"/>
        </w:rPr>
        <w:t xml:space="preserve"> уполномоченные лица по организации и функционирования системы внутреннего обеспечения соответствия требованиям антимонопольного законодательства (антимонопольного комплаенса).</w:t>
      </w:r>
    </w:p>
    <w:p w14:paraId="1A000000">
      <w:pPr>
        <w:pStyle w:val="Style_2"/>
        <w:numPr>
          <w:ilvl w:val="0"/>
          <w:numId w:val="5"/>
        </w:numPr>
        <w:spacing w:before="0"/>
        <w:ind w:firstLine="700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 соответствии с пунктом 2.1. Плана мероприятий</w:t>
      </w:r>
      <w:r>
        <w:rPr>
          <w:sz w:val="28"/>
        </w:rPr>
        <w:t xml:space="preserve">, в целях оценки рисков нарушений антимонопольного законодательства (комплаенса-рисков), </w:t>
      </w:r>
      <w:r>
        <w:rPr>
          <w:sz w:val="28"/>
        </w:rPr>
        <w:t>Министерством</w:t>
      </w:r>
      <w:r>
        <w:rPr>
          <w:sz w:val="28"/>
        </w:rPr>
        <w:t xml:space="preserve"> проведен анализ факторов, событий и обстоятельств, которые влияют на совершение таких нарушений.</w:t>
      </w:r>
    </w:p>
    <w:p w14:paraId="1B000000">
      <w:pPr>
        <w:pStyle w:val="Style_2"/>
        <w:numPr>
          <w:ilvl w:val="1"/>
          <w:numId w:val="5"/>
        </w:numPr>
        <w:tabs>
          <w:tab w:leader="none" w:pos="1258" w:val="left"/>
        </w:tabs>
        <w:spacing w:before="0"/>
        <w:ind w:firstLine="700" w:left="0"/>
        <w:rPr>
          <w:sz w:val="28"/>
        </w:rPr>
      </w:pPr>
      <w:r>
        <w:rPr>
          <w:sz w:val="28"/>
        </w:rPr>
        <w:t xml:space="preserve">Для выявления комплаенса-рисков проанализирована информация о нарушениях антимонопольного законодательства, которые допущены </w:t>
      </w:r>
      <w:r>
        <w:rPr>
          <w:sz w:val="28"/>
        </w:rPr>
        <w:t>Министерством</w:t>
      </w:r>
      <w:r>
        <w:rPr>
          <w:sz w:val="28"/>
        </w:rPr>
        <w:t xml:space="preserve"> за предыдущие 2 года </w:t>
      </w:r>
      <w:r>
        <w:rPr>
          <w:sz w:val="28"/>
        </w:rPr>
        <w:t>(подпункт 1 пункта 2.1 Плана мероприятий).</w:t>
      </w:r>
    </w:p>
    <w:p w14:paraId="1C000000">
      <w:pPr>
        <w:pStyle w:val="Style_2"/>
        <w:spacing w:before="0"/>
        <w:ind w:firstLine="700" w:left="0"/>
        <w:rPr>
          <w:sz w:val="28"/>
        </w:rPr>
      </w:pPr>
      <w:r>
        <w:rPr>
          <w:sz w:val="28"/>
        </w:rPr>
        <w:t>С</w:t>
      </w:r>
      <w:r>
        <w:rPr>
          <w:sz w:val="28"/>
        </w:rPr>
        <w:t>удебны</w:t>
      </w:r>
      <w:r>
        <w:rPr>
          <w:sz w:val="28"/>
        </w:rPr>
        <w:t>е</w:t>
      </w:r>
      <w:r>
        <w:rPr>
          <w:sz w:val="28"/>
        </w:rPr>
        <w:t xml:space="preserve"> иск</w:t>
      </w:r>
      <w:r>
        <w:rPr>
          <w:sz w:val="28"/>
        </w:rPr>
        <w:t>и</w:t>
      </w:r>
      <w:r>
        <w:rPr>
          <w:sz w:val="28"/>
        </w:rPr>
        <w:t>, направленны</w:t>
      </w:r>
      <w:r>
        <w:rPr>
          <w:sz w:val="28"/>
        </w:rPr>
        <w:t>е</w:t>
      </w:r>
      <w:r>
        <w:rPr>
          <w:sz w:val="28"/>
        </w:rPr>
        <w:t xml:space="preserve"> в адрес </w:t>
      </w:r>
      <w:r>
        <w:rPr>
          <w:sz w:val="28"/>
        </w:rPr>
        <w:t>Министерства</w:t>
      </w:r>
      <w:r>
        <w:rPr>
          <w:sz w:val="28"/>
        </w:rPr>
        <w:t xml:space="preserve"> </w:t>
      </w:r>
      <w:r>
        <w:rPr>
          <w:sz w:val="28"/>
        </w:rPr>
        <w:t>за последние 2 года</w:t>
      </w:r>
      <w:r>
        <w:rPr>
          <w:sz w:val="28"/>
        </w:rPr>
        <w:t xml:space="preserve"> и </w:t>
      </w:r>
      <w:r>
        <w:rPr>
          <w:sz w:val="28"/>
        </w:rPr>
        <w:t>жалоб</w:t>
      </w:r>
      <w:r>
        <w:rPr>
          <w:sz w:val="28"/>
        </w:rPr>
        <w:t>ы</w:t>
      </w:r>
      <w:r>
        <w:rPr>
          <w:sz w:val="28"/>
        </w:rPr>
        <w:t xml:space="preserve"> от граждан и организаций на нарушение антимонопольного законодательства </w:t>
      </w:r>
      <w:r>
        <w:rPr>
          <w:sz w:val="28"/>
        </w:rPr>
        <w:t>отсутствуют.</w:t>
      </w:r>
    </w:p>
    <w:p w14:paraId="1D000000">
      <w:pPr>
        <w:pStyle w:val="Style_2"/>
        <w:spacing w:before="0"/>
        <w:ind w:firstLine="700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 целях выполнения подпункта 2 и 3 пункта 2.1 Плана мероприятий </w:t>
      </w:r>
      <w:r>
        <w:rPr>
          <w:color w:val="000000"/>
          <w:sz w:val="28"/>
        </w:rPr>
        <w:t xml:space="preserve">проанализированы данные отчетности, результаты всех проверок </w:t>
      </w:r>
      <w:r>
        <w:rPr>
          <w:color w:val="000000"/>
          <w:sz w:val="28"/>
        </w:rPr>
        <w:t>Министерства</w:t>
      </w:r>
      <w:r>
        <w:rPr>
          <w:color w:val="000000"/>
          <w:sz w:val="28"/>
        </w:rPr>
        <w:t xml:space="preserve">. </w:t>
      </w:r>
    </w:p>
    <w:p w14:paraId="1E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>С 01.07.2021 государственное казенное учреждение «Камчатский краевой финансово-аналитический центр в сфере здравоохранения» (ГКУ «ФАЦ») наделено полномочиями по планированию и осуществлению закупок, заключению государственных контрактов, их исполнению и приемке поставленных товаров (работ, услуг) для Министерства, в соответствии с приказом Министерства здравоохранения от 26</w:t>
      </w:r>
      <w:r>
        <w:rPr>
          <w:sz w:val="28"/>
        </w:rPr>
        <w:t>.03.2021 № 21-209/1 и Соглашением</w:t>
      </w:r>
      <w:r>
        <w:rPr>
          <w:sz w:val="28"/>
        </w:rPr>
        <w:t xml:space="preserve"> б/н от 01.07.2021 </w:t>
      </w:r>
      <w:r>
        <w:rPr>
          <w:sz w:val="28"/>
        </w:rPr>
        <w:t>о передаче полномочий заказчика.</w:t>
      </w:r>
      <w:r>
        <w:rPr>
          <w:sz w:val="28"/>
        </w:rPr>
        <w:t xml:space="preserve"> </w:t>
      </w:r>
    </w:p>
    <w:p w14:paraId="1F000000">
      <w:pPr>
        <w:pStyle w:val="Style_2"/>
        <w:numPr>
          <w:ilvl w:val="1"/>
          <w:numId w:val="5"/>
        </w:numPr>
        <w:tabs>
          <w:tab w:leader="none" w:pos="1372" w:val="left"/>
        </w:tabs>
        <w:spacing w:before="0"/>
        <w:ind w:firstLine="700" w:left="40"/>
        <w:rPr>
          <w:sz w:val="28"/>
        </w:rPr>
      </w:pPr>
      <w:r>
        <w:rPr>
          <w:sz w:val="28"/>
        </w:rPr>
        <w:t>В рамках реализации подпунктов 2 и 3 пункта 2.1. Плана</w:t>
      </w:r>
      <w:r>
        <w:rPr>
          <w:sz w:val="28"/>
        </w:rPr>
        <w:t xml:space="preserve"> мероприятий </w:t>
      </w:r>
      <w:r>
        <w:rPr>
          <w:sz w:val="28"/>
        </w:rPr>
        <w:t>анализ</w:t>
      </w:r>
      <w:r>
        <w:rPr>
          <w:sz w:val="28"/>
        </w:rPr>
        <w:t xml:space="preserve"> нормативных правовых актов проводится на постоянной основе </w:t>
      </w:r>
      <w:r>
        <w:rPr>
          <w:sz w:val="28"/>
        </w:rPr>
        <w:t xml:space="preserve">в том числе и на </w:t>
      </w:r>
      <w:r>
        <w:rPr>
          <w:sz w:val="28"/>
        </w:rPr>
        <w:t>этапе их</w:t>
      </w:r>
      <w:r>
        <w:rPr>
          <w:sz w:val="28"/>
        </w:rPr>
        <w:t xml:space="preserve"> разработки</w:t>
      </w:r>
      <w:r>
        <w:rPr>
          <w:sz w:val="28"/>
        </w:rPr>
        <w:t>.</w:t>
      </w:r>
    </w:p>
    <w:p w14:paraId="20000000">
      <w:pPr>
        <w:pStyle w:val="Style_2"/>
        <w:spacing w:before="0"/>
        <w:ind w:firstLine="700" w:left="0"/>
        <w:rPr>
          <w:sz w:val="28"/>
        </w:rPr>
      </w:pPr>
      <w:r>
        <w:rPr>
          <w:sz w:val="28"/>
        </w:rPr>
        <w:t>Замечания и предложения</w:t>
      </w:r>
      <w:r>
        <w:rPr>
          <w:sz w:val="28"/>
        </w:rPr>
        <w:t xml:space="preserve"> от организаций и граждан по нарушениям антимонопольного законодательства по Перечню нормативно-правовых актов, подлежащих оценке на предмет нарушений антимонольного законодательства </w:t>
      </w:r>
      <w:r>
        <w:rPr>
          <w:sz w:val="28"/>
        </w:rPr>
        <w:t xml:space="preserve">в </w:t>
      </w:r>
      <w:r>
        <w:rPr>
          <w:sz w:val="28"/>
        </w:rPr>
        <w:t>Министерство в 2023</w:t>
      </w:r>
      <w:r>
        <w:rPr>
          <w:sz w:val="28"/>
        </w:rPr>
        <w:t xml:space="preserve"> году,</w:t>
      </w:r>
      <w:r>
        <w:rPr>
          <w:sz w:val="28"/>
        </w:rPr>
        <w:t xml:space="preserve"> не поступал</w:t>
      </w:r>
      <w:r>
        <w:rPr>
          <w:sz w:val="28"/>
        </w:rPr>
        <w:t>и</w:t>
      </w:r>
      <w:r>
        <w:rPr>
          <w:sz w:val="28"/>
        </w:rPr>
        <w:t>. Положений</w:t>
      </w:r>
      <w:r>
        <w:rPr>
          <w:sz w:val="28"/>
        </w:rPr>
        <w:t xml:space="preserve"> нормативных правовых актов, реализация которых приводит или может привести к недопущению, ограничению и устранению конкуренции не выявлено.</w:t>
      </w:r>
    </w:p>
    <w:p w14:paraId="21000000">
      <w:pPr>
        <w:pStyle w:val="Style_2"/>
        <w:numPr>
          <w:ilvl w:val="1"/>
          <w:numId w:val="5"/>
        </w:numPr>
        <w:spacing w:before="0"/>
        <w:ind w:firstLine="700" w:left="2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 целях </w:t>
      </w:r>
      <w:r>
        <w:rPr>
          <w:sz w:val="28"/>
        </w:rPr>
        <w:t>проведения</w:t>
      </w:r>
      <w:r>
        <w:rPr>
          <w:sz w:val="28"/>
        </w:rPr>
        <w:t xml:space="preserve"> независимой </w:t>
      </w:r>
      <w:r>
        <w:rPr>
          <w:sz w:val="28"/>
        </w:rPr>
        <w:t>оценк</w:t>
      </w:r>
      <w:r>
        <w:rPr>
          <w:sz w:val="28"/>
        </w:rPr>
        <w:t>и</w:t>
      </w:r>
      <w:r>
        <w:rPr>
          <w:sz w:val="28"/>
        </w:rPr>
        <w:t xml:space="preserve"> нормативных правовых актов</w:t>
      </w:r>
      <w:r>
        <w:rPr>
          <w:sz w:val="28"/>
        </w:rPr>
        <w:t>, разработчиком которых является 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на сайте http://regulation.kamgov.ru </w:t>
      </w:r>
      <w:r>
        <w:rPr>
          <w:sz w:val="28"/>
        </w:rPr>
        <w:t>на предмет нарушения антимонопольного законодательства</w:t>
      </w:r>
      <w:r>
        <w:rPr>
          <w:sz w:val="28"/>
        </w:rPr>
        <w:t>,</w:t>
      </w:r>
      <w:r>
        <w:rPr>
          <w:sz w:val="28"/>
        </w:rPr>
        <w:t xml:space="preserve"> Министерство проводит работу по включению в перечень </w:t>
      </w:r>
      <w:r>
        <w:rPr>
          <w:sz w:val="28"/>
        </w:rPr>
        <w:t>разработчиков</w:t>
      </w:r>
      <w:r>
        <w:rPr>
          <w:sz w:val="28"/>
        </w:rPr>
        <w:t xml:space="preserve"> </w:t>
      </w:r>
      <w:r>
        <w:rPr>
          <w:sz w:val="28"/>
        </w:rPr>
        <w:t>на данном</w:t>
      </w:r>
      <w:r>
        <w:rPr>
          <w:sz w:val="28"/>
        </w:rPr>
        <w:t xml:space="preserve"> сайте</w:t>
      </w:r>
      <w:r>
        <w:rPr>
          <w:sz w:val="28"/>
        </w:rPr>
        <w:t>.</w:t>
      </w:r>
    </w:p>
    <w:p w14:paraId="22000000">
      <w:pPr>
        <w:pStyle w:val="Style_2"/>
        <w:numPr>
          <w:ilvl w:val="1"/>
          <w:numId w:val="5"/>
        </w:numPr>
        <w:spacing w:before="0"/>
        <w:ind w:firstLine="700" w:left="0"/>
        <w:rPr>
          <w:sz w:val="28"/>
        </w:rPr>
      </w:pPr>
      <w:r>
        <w:rPr>
          <w:sz w:val="28"/>
        </w:rPr>
        <w:t xml:space="preserve">При мониторинге правоприменительной практики антимонопольного законодательства </w:t>
      </w:r>
      <w:r>
        <w:rPr>
          <w:sz w:val="28"/>
        </w:rPr>
        <w:t xml:space="preserve">потенциальные комплаенс-риски Министерства </w:t>
      </w:r>
      <w:r>
        <w:rPr>
          <w:sz w:val="28"/>
        </w:rPr>
        <w:t xml:space="preserve">не </w:t>
      </w:r>
      <w:r>
        <w:rPr>
          <w:sz w:val="28"/>
        </w:rPr>
        <w:t>выявлены</w:t>
      </w:r>
      <w:r>
        <w:rPr>
          <w:sz w:val="28"/>
        </w:rPr>
        <w:t>.</w:t>
      </w:r>
    </w:p>
    <w:p w14:paraId="23000000">
      <w:pPr>
        <w:pStyle w:val="Style_2"/>
        <w:numPr>
          <w:ilvl w:val="0"/>
          <w:numId w:val="5"/>
        </w:numPr>
        <w:spacing w:before="0"/>
        <w:ind w:firstLine="720" w:left="0"/>
        <w:rPr>
          <w:sz w:val="28"/>
        </w:rPr>
      </w:pPr>
      <w:r>
        <w:rPr>
          <w:sz w:val="28"/>
        </w:rPr>
        <w:t xml:space="preserve">Для оценки эффективности функционирования антимонопольного комплаенса в </w:t>
      </w:r>
      <w:r>
        <w:rPr>
          <w:sz w:val="28"/>
        </w:rPr>
        <w:t>Министерстве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 xml:space="preserve"> ключевые показатели эффективно</w:t>
      </w:r>
      <w:r>
        <w:rPr>
          <w:sz w:val="28"/>
        </w:rPr>
        <w:t>сти антимонопольного комплаенса:</w:t>
      </w:r>
    </w:p>
    <w:p w14:paraId="24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Проведение в Министерстве семинаров, мероприятий по вопросам, связанным с соблюдением антимонопольного законодательства и антимонопольн</w:t>
      </w:r>
      <w:r>
        <w:rPr>
          <w:sz w:val="28"/>
        </w:rPr>
        <w:t>ого</w:t>
      </w:r>
      <w:r>
        <w:rPr>
          <w:sz w:val="28"/>
        </w:rPr>
        <w:t xml:space="preserve"> комплаенс</w:t>
      </w:r>
      <w:r>
        <w:rPr>
          <w:sz w:val="28"/>
        </w:rPr>
        <w:t>а</w:t>
      </w:r>
      <w:r>
        <w:rPr>
          <w:sz w:val="28"/>
        </w:rPr>
        <w:t>.</w:t>
      </w:r>
    </w:p>
    <w:p w14:paraId="25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 xml:space="preserve">Сотрудники Министерства проинформированы о соблюдении антимонопольного законодательства. </w:t>
      </w:r>
    </w:p>
    <w:p w14:paraId="26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Выполнение плана мероприятий «дорожной карты» по </w:t>
      </w:r>
      <w:r>
        <w:rPr>
          <w:sz w:val="28"/>
        </w:rPr>
        <w:t>снижению</w:t>
      </w:r>
      <w:r>
        <w:rPr>
          <w:sz w:val="28"/>
        </w:rPr>
        <w:t xml:space="preserve"> рисков нарушения антимонопольного законодательства.</w:t>
      </w:r>
    </w:p>
    <w:p w14:paraId="27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>С целью снижения рисков нарушения антимонопольного законодательства уполномоченные лица проводят систематически оценку реализуемых мероприятий предусмотренных Планом мероприятий («дорожная карта»).</w:t>
      </w:r>
    </w:p>
    <w:p w14:paraId="28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>3.3</w:t>
      </w:r>
      <w:r>
        <w:rPr>
          <w:sz w:val="28"/>
        </w:rPr>
        <w:t xml:space="preserve">. </w:t>
      </w:r>
      <w:r>
        <w:rPr>
          <w:sz w:val="28"/>
        </w:rPr>
        <w:t>Отсутствие обоснованных замечаний, собранных при проведении анализа проектов нормативных правовых актов Министерства.</w:t>
      </w:r>
    </w:p>
    <w:p w14:paraId="29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 xml:space="preserve">При проведении </w:t>
      </w:r>
      <w:r>
        <w:rPr>
          <w:sz w:val="28"/>
        </w:rPr>
        <w:t>анализа</w:t>
      </w:r>
      <w:r>
        <w:rPr>
          <w:sz w:val="28"/>
        </w:rPr>
        <w:t xml:space="preserve"> проектов нормативных правовых актов Правительства Камчатского края, разработчиков которых является Министерство,</w:t>
      </w:r>
      <w:r>
        <w:rPr>
          <w:sz w:val="28"/>
        </w:rPr>
        <w:t xml:space="preserve"> на предмет нарушения антимонопольного законодательства,</w:t>
      </w:r>
      <w:r>
        <w:rPr>
          <w:sz w:val="28"/>
        </w:rPr>
        <w:t xml:space="preserve"> замечания отсутствуют. </w:t>
      </w:r>
    </w:p>
    <w:p w14:paraId="2A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>3.4</w:t>
      </w:r>
      <w:r>
        <w:rPr>
          <w:sz w:val="28"/>
        </w:rPr>
        <w:t xml:space="preserve">. </w:t>
      </w:r>
      <w:r>
        <w:rPr>
          <w:sz w:val="28"/>
        </w:rPr>
        <w:t>Отсутствие обоснованных замечаний, собранных при проведении анализа приказов (проектов приказов) Министерства.</w:t>
      </w:r>
    </w:p>
    <w:p w14:paraId="2B000000">
      <w:pPr>
        <w:pStyle w:val="Style_2"/>
        <w:spacing w:before="0"/>
        <w:ind w:firstLine="720" w:left="0"/>
        <w:rPr>
          <w:sz w:val="28"/>
        </w:rPr>
      </w:pPr>
      <w:r>
        <w:rPr>
          <w:sz w:val="28"/>
        </w:rPr>
        <w:t>При проведении оценки приказов (проектов приказов) Министерства</w:t>
      </w:r>
      <w:r>
        <w:rPr>
          <w:sz w:val="28"/>
        </w:rPr>
        <w:t xml:space="preserve"> на предмет нарушения антимонопольного законодательства</w:t>
      </w:r>
      <w:r>
        <w:rPr>
          <w:sz w:val="28"/>
        </w:rPr>
        <w:t xml:space="preserve">, </w:t>
      </w:r>
      <w:r>
        <w:rPr>
          <w:sz w:val="28"/>
        </w:rPr>
        <w:t xml:space="preserve">замечания отсутствуют. </w:t>
      </w:r>
    </w:p>
    <w:sectPr>
      <w:type w:val="continuous"/>
      <w:pgSz w:h="16848" w:orient="portrait" w:w="11908"/>
      <w:pgMar w:bottom="850" w:footer="6" w:gutter="0" w:header="0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lvlText w:val="%1."/>
      <w:lvlJc w:val="left"/>
      <w:pPr>
        <w:ind w:hanging="432" w:left="432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44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2160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1080" w:left="3240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3960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440" w:left="504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800" w:left="612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800" w:left="684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2160" w:left="7920"/>
      </w:pPr>
      <w:rPr>
        <w:b w:val="1"/>
      </w:rPr>
    </w:lvl>
  </w:abstractNum>
  <w:abstractNum w:abstractNumId="2">
    <w:lvl w:ilvl="0">
      <w:start w:val="2"/>
      <w:numFmt w:val="decimal"/>
      <w:lvlText w:val="%1."/>
      <w:lvlJc w:val="left"/>
      <w:pPr>
        <w:ind w:hanging="432" w:left="432"/>
      </w:pPr>
    </w:lvl>
    <w:lvl w:ilvl="1">
      <w:start w:val="1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1080" w:left="3240"/>
      </w:pPr>
    </w:lvl>
    <w:lvl w:ilvl="4">
      <w:start w:val="1"/>
      <w:numFmt w:val="decimal"/>
      <w:lvlText w:val="%1.%2.%3.%4.%5."/>
      <w:lvlJc w:val="left"/>
      <w:pPr>
        <w:ind w:hanging="1080" w:left="3960"/>
      </w:pPr>
    </w:lvl>
    <w:lvl w:ilvl="5">
      <w:start w:val="1"/>
      <w:numFmt w:val="decimal"/>
      <w:lvlText w:val="%1.%2.%3.%4.%5.%6."/>
      <w:lvlJc w:val="left"/>
      <w:pPr>
        <w:ind w:hanging="1440" w:left="5040"/>
      </w:pPr>
    </w:lvl>
    <w:lvl w:ilvl="6">
      <w:start w:val="1"/>
      <w:numFmt w:val="decimal"/>
      <w:lvlText w:val="%1.%2.%3.%4.%5.%6.%7."/>
      <w:lvlJc w:val="left"/>
      <w:pPr>
        <w:ind w:hanging="1800" w:left="6120"/>
      </w:pPr>
    </w:lvl>
    <w:lvl w:ilvl="7">
      <w:start w:val="1"/>
      <w:numFmt w:val="decimal"/>
      <w:lvlText w:val="%1.%2.%3.%4.%5.%6.%7.%8."/>
      <w:lvlJc w:val="left"/>
      <w:pPr>
        <w:ind w:hanging="1800" w:left="6840"/>
      </w:pPr>
    </w:lvl>
    <w:lvl w:ilvl="8">
      <w:start w:val="1"/>
      <w:numFmt w:val="decimal"/>
      <w:lvlText w:val="%1.%2.%3.%4.%5.%6.%7.%8.%9."/>
      <w:lvlJc w:val="left"/>
      <w:pPr>
        <w:ind w:hanging="2160" w:left="7920"/>
      </w:pPr>
    </w:lvl>
  </w:abstractNum>
  <w:abstractNum w:abstractNumId="3">
    <w:lvl w:ilvl="0">
      <w:start w:val="4"/>
      <w:numFmt w:val="decimal"/>
      <w:lvlText w:val="%1."/>
      <w:lvlJc w:val="left"/>
      <w:pPr>
        <w:ind w:hanging="432" w:left="432"/>
      </w:pPr>
    </w:lvl>
    <w:lvl w:ilvl="1">
      <w:start w:val="1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1080" w:left="3240"/>
      </w:pPr>
    </w:lvl>
    <w:lvl w:ilvl="4">
      <w:start w:val="1"/>
      <w:numFmt w:val="decimal"/>
      <w:lvlText w:val="%1.%2.%3.%4.%5."/>
      <w:lvlJc w:val="left"/>
      <w:pPr>
        <w:ind w:hanging="1080" w:left="3960"/>
      </w:pPr>
    </w:lvl>
    <w:lvl w:ilvl="5">
      <w:start w:val="1"/>
      <w:numFmt w:val="decimal"/>
      <w:lvlText w:val="%1.%2.%3.%4.%5.%6."/>
      <w:lvlJc w:val="left"/>
      <w:pPr>
        <w:ind w:hanging="1440" w:left="5040"/>
      </w:pPr>
    </w:lvl>
    <w:lvl w:ilvl="6">
      <w:start w:val="1"/>
      <w:numFmt w:val="decimal"/>
      <w:lvlText w:val="%1.%2.%3.%4.%5.%6.%7."/>
      <w:lvlJc w:val="left"/>
      <w:pPr>
        <w:ind w:hanging="1800" w:left="6120"/>
      </w:pPr>
    </w:lvl>
    <w:lvl w:ilvl="7">
      <w:start w:val="1"/>
      <w:numFmt w:val="decimal"/>
      <w:lvlText w:val="%1.%2.%3.%4.%5.%6.%7.%8."/>
      <w:lvlJc w:val="left"/>
      <w:pPr>
        <w:ind w:hanging="1800" w:left="6840"/>
      </w:pPr>
    </w:lvl>
    <w:lvl w:ilvl="8">
      <w:start w:val="1"/>
      <w:numFmt w:val="decimal"/>
      <w:lvlText w:val="%1.%2.%3.%4.%5.%6.%7.%8.%9."/>
      <w:lvlJc w:val="left"/>
      <w:pPr>
        <w:ind w:hanging="2160" w:left="7920"/>
      </w:pPr>
    </w:lvl>
  </w:abstractNum>
  <w:abstractNum w:abstractNumId="4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color w:val="000000"/>
    </w:rPr>
  </w:style>
  <w:style w:default="1" w:styleId="Style_3_ch" w:type="character">
    <w:name w:val="Normal"/>
    <w:link w:val="Style_3"/>
    <w:rPr>
      <w:color w:val="00000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" w:type="paragraph">
    <w:name w:val="Основной текст (2)"/>
    <w:basedOn w:val="Style_3"/>
    <w:link w:val="Style_1_ch"/>
    <w:pPr>
      <w:spacing w:before="840" w:line="418" w:lineRule="exact"/>
      <w:ind/>
    </w:pPr>
    <w:rPr>
      <w:rFonts w:ascii="Times New Roman" w:hAnsi="Times New Roman"/>
      <w:b w:val="1"/>
      <w:sz w:val="30"/>
    </w:rPr>
  </w:style>
  <w:style w:styleId="Style_1_ch" w:type="character">
    <w:name w:val="Основной текст (2)"/>
    <w:basedOn w:val="Style_3_ch"/>
    <w:link w:val="Style_1"/>
    <w:rPr>
      <w:rFonts w:ascii="Times New Roman" w:hAnsi="Times New Roman"/>
      <w:b w:val="1"/>
      <w:sz w:val="30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8"/>
    <w:link w:val="Style_14_ch"/>
    <w:rPr>
      <w:color w:val="0066CC"/>
      <w:u w:val="single"/>
    </w:rPr>
  </w:style>
  <w:style w:styleId="Style_14_ch" w:type="character">
    <w:name w:val="Hyperlink"/>
    <w:basedOn w:val="Style_8_ch"/>
    <w:link w:val="Style_14"/>
    <w:rPr>
      <w:color w:val="0066CC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List Paragraph"/>
    <w:basedOn w:val="Style_3"/>
    <w:link w:val="Style_18_ch"/>
    <w:pPr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Подпись к картинке"/>
    <w:basedOn w:val="Style_3"/>
    <w:link w:val="Style_21_ch"/>
    <w:pPr>
      <w:spacing w:line="317" w:lineRule="exact"/>
      <w:ind/>
      <w:jc w:val="right"/>
    </w:pPr>
    <w:rPr>
      <w:rFonts w:ascii="Times New Roman" w:hAnsi="Times New Roman"/>
      <w:sz w:val="22"/>
    </w:rPr>
  </w:style>
  <w:style w:styleId="Style_21_ch" w:type="character">
    <w:name w:val="Подпись к картинке"/>
    <w:basedOn w:val="Style_3_ch"/>
    <w:link w:val="Style_21"/>
    <w:rPr>
      <w:rFonts w:ascii="Times New Roman" w:hAnsi="Times New Roman"/>
      <w:sz w:val="22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Основной текст1"/>
    <w:basedOn w:val="Style_3"/>
    <w:link w:val="Style_2_ch"/>
    <w:pPr>
      <w:spacing w:before="300" w:line="367" w:lineRule="exact"/>
      <w:ind/>
      <w:jc w:val="both"/>
    </w:pPr>
    <w:rPr>
      <w:rFonts w:ascii="Times New Roman" w:hAnsi="Times New Roman"/>
      <w:sz w:val="26"/>
    </w:rPr>
  </w:style>
  <w:style w:styleId="Style_2_ch" w:type="character">
    <w:name w:val="Основной текст1"/>
    <w:basedOn w:val="Style_3_ch"/>
    <w:link w:val="Style_2"/>
    <w:rPr>
      <w:rFonts w:ascii="Times New Roman" w:hAnsi="Times New Roman"/>
      <w:sz w:val="26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2024-01-29T23:32:37Z</dcterms:modified>
</cp:coreProperties>
</file>